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sz w:val="36"/>
          <w:szCs w:val="36"/>
        </w:rPr>
      </w:pPr>
      <w:r>
        <w:rPr>
          <w:rFonts w:hint="eastAsia" w:ascii="宋体" w:hAnsi="宋体"/>
          <w:b/>
          <w:sz w:val="36"/>
          <w:szCs w:val="36"/>
          <w:lang w:eastAsia="zh-CN"/>
        </w:rPr>
        <w:t>杜集区高岳街道办事处2023</w:t>
      </w:r>
      <w:r>
        <w:rPr>
          <w:rFonts w:ascii="宋体" w:hAnsi="宋体"/>
          <w:b/>
          <w:sz w:val="36"/>
          <w:szCs w:val="36"/>
        </w:rPr>
        <w:t>年</w:t>
      </w:r>
      <w:r>
        <w:rPr>
          <w:rFonts w:hint="eastAsia" w:ascii="宋体" w:hAnsi="宋体"/>
          <w:b/>
          <w:sz w:val="36"/>
          <w:szCs w:val="36"/>
        </w:rPr>
        <w:t>度一般公共预算财政</w:t>
      </w:r>
    </w:p>
    <w:p>
      <w:pPr>
        <w:jc w:val="center"/>
        <w:rPr>
          <w:rFonts w:ascii="宋体" w:hAnsi="宋体"/>
          <w:b/>
          <w:sz w:val="36"/>
          <w:szCs w:val="36"/>
        </w:rPr>
      </w:pPr>
      <w:r>
        <w:rPr>
          <w:rFonts w:hint="eastAsia" w:ascii="宋体" w:hAnsi="宋体"/>
          <w:b/>
          <w:sz w:val="36"/>
          <w:szCs w:val="36"/>
        </w:rPr>
        <w:t>拨款</w:t>
      </w:r>
      <w:r>
        <w:rPr>
          <w:rFonts w:ascii="宋体" w:hAnsi="宋体"/>
          <w:b/>
          <w:sz w:val="36"/>
          <w:szCs w:val="36"/>
        </w:rPr>
        <w:t>“三公</w:t>
      </w:r>
      <w:r>
        <w:rPr>
          <w:rFonts w:hint="eastAsia" w:ascii="宋体" w:hAnsi="宋体"/>
          <w:b/>
          <w:sz w:val="36"/>
          <w:szCs w:val="36"/>
        </w:rPr>
        <w:t>”</w:t>
      </w:r>
      <w:r>
        <w:rPr>
          <w:rFonts w:ascii="宋体" w:hAnsi="宋体"/>
          <w:b/>
          <w:sz w:val="36"/>
          <w:szCs w:val="36"/>
        </w:rPr>
        <w:t>经费</w:t>
      </w:r>
      <w:r>
        <w:rPr>
          <w:rFonts w:hint="eastAsia" w:ascii="宋体" w:hAnsi="宋体"/>
          <w:b/>
          <w:sz w:val="36"/>
          <w:szCs w:val="36"/>
        </w:rPr>
        <w:t>支出决算情况说明</w:t>
      </w:r>
    </w:p>
    <w:p>
      <w:pPr>
        <w:jc w:val="center"/>
        <w:rPr>
          <w:rFonts w:ascii="楷体_GB2312" w:eastAsia="楷体_GB2312"/>
          <w:szCs w:val="32"/>
        </w:rPr>
      </w:pPr>
    </w:p>
    <w:p>
      <w:pPr>
        <w:adjustRightInd w:val="0"/>
        <w:snapToGrid w:val="0"/>
        <w:spacing w:line="360" w:lineRule="auto"/>
        <w:jc w:val="center"/>
        <w:rPr>
          <w:rFonts w:ascii="宋体" w:hAnsi="宋体"/>
          <w:sz w:val="6"/>
          <w:szCs w:val="32"/>
        </w:rPr>
      </w:pPr>
    </w:p>
    <w:p>
      <w:pPr>
        <w:rPr>
          <w:rFonts w:ascii="黑体" w:hAnsi="黑体" w:eastAsia="黑体"/>
          <w:szCs w:val="32"/>
        </w:rPr>
      </w:pPr>
      <w:r>
        <w:rPr>
          <w:rFonts w:ascii="黑体" w:hAnsi="黑体" w:eastAsia="黑体"/>
          <w:szCs w:val="32"/>
        </w:rPr>
        <w:t xml:space="preserve">    </w:t>
      </w:r>
      <w:r>
        <w:rPr>
          <w:rFonts w:hint="eastAsia" w:ascii="黑体" w:hAnsi="黑体" w:eastAsia="黑体"/>
          <w:szCs w:val="32"/>
        </w:rPr>
        <w:t>一、</w:t>
      </w:r>
      <w:r>
        <w:rPr>
          <w:rFonts w:hint="eastAsia" w:ascii="黑体" w:hAnsi="黑体" w:eastAsia="黑体"/>
          <w:szCs w:val="32"/>
          <w:lang w:eastAsia="zh-CN"/>
        </w:rPr>
        <w:t>2023</w:t>
      </w:r>
      <w:r>
        <w:rPr>
          <w:rFonts w:hint="eastAsia" w:ascii="黑体" w:hAnsi="黑体" w:eastAsia="黑体"/>
          <w:szCs w:val="32"/>
        </w:rPr>
        <w:t>年度一般公共预算财政拨款“三公”经费支出决算表</w:t>
      </w:r>
    </w:p>
    <w:p>
      <w:pPr>
        <w:ind w:firstLine="6720" w:firstLineChars="2100"/>
        <w:rPr>
          <w:rFonts w:ascii="黑体" w:hAnsi="黑体" w:eastAsia="黑体"/>
          <w:szCs w:val="32"/>
        </w:rPr>
      </w:pPr>
      <w:r>
        <w:rPr>
          <w:rFonts w:hint="eastAsia" w:ascii="仿宋_GB2312" w:hAnsi="仿宋_GB2312" w:cs="仿宋_GB2312"/>
          <w:szCs w:val="32"/>
        </w:rPr>
        <w:t>单位：万元</w:t>
      </w:r>
    </w:p>
    <w:tbl>
      <w:tblPr>
        <w:tblStyle w:val="5"/>
        <w:tblpPr w:leftFromText="180" w:rightFromText="180" w:vertAnchor="text" w:horzAnchor="margin" w:tblpY="454"/>
        <w:tblOverlap w:val="never"/>
        <w:tblW w:w="0" w:type="auto"/>
        <w:tblInd w:w="0" w:type="dxa"/>
        <w:tblLayout w:type="fixed"/>
        <w:tblCellMar>
          <w:top w:w="0" w:type="dxa"/>
          <w:left w:w="108" w:type="dxa"/>
          <w:bottom w:w="0" w:type="dxa"/>
          <w:right w:w="108" w:type="dxa"/>
        </w:tblCellMar>
      </w:tblPr>
      <w:tblGrid>
        <w:gridCol w:w="4379"/>
        <w:gridCol w:w="2157"/>
        <w:gridCol w:w="2220"/>
      </w:tblGrid>
      <w:tr>
        <w:tblPrEx>
          <w:tblCellMar>
            <w:top w:w="0" w:type="dxa"/>
            <w:left w:w="108" w:type="dxa"/>
            <w:bottom w:w="0" w:type="dxa"/>
            <w:right w:w="108" w:type="dxa"/>
          </w:tblCellMar>
        </w:tblPrEx>
        <w:trPr>
          <w:trHeight w:val="397" w:hRule="atLeast"/>
        </w:trPr>
        <w:tc>
          <w:tcPr>
            <w:tcW w:w="437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Cs w:val="21"/>
              </w:rPr>
            </w:pPr>
            <w:r>
              <w:rPr>
                <w:rFonts w:hint="eastAsia" w:ascii="宋体" w:hAnsi="宋体" w:cs="宋体"/>
                <w:b/>
                <w:bCs/>
                <w:kern w:val="0"/>
                <w:szCs w:val="21"/>
              </w:rPr>
              <w:t>项  目</w:t>
            </w:r>
          </w:p>
        </w:tc>
        <w:tc>
          <w:tcPr>
            <w:tcW w:w="2157"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Cs w:val="21"/>
              </w:rPr>
            </w:pPr>
            <w:r>
              <w:rPr>
                <w:rFonts w:hint="eastAsia" w:ascii="宋体" w:hAnsi="宋体" w:cs="宋体"/>
                <w:b/>
                <w:bCs/>
                <w:kern w:val="0"/>
                <w:szCs w:val="21"/>
              </w:rPr>
              <w:t>预 算 数</w:t>
            </w:r>
          </w:p>
        </w:tc>
        <w:tc>
          <w:tcPr>
            <w:tcW w:w="22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Cs w:val="21"/>
              </w:rPr>
            </w:pPr>
            <w:r>
              <w:rPr>
                <w:rFonts w:hint="eastAsia" w:ascii="宋体" w:hAnsi="宋体" w:cs="宋体"/>
                <w:b/>
                <w:bCs/>
                <w:kern w:val="0"/>
                <w:szCs w:val="21"/>
              </w:rPr>
              <w:t>决 算 数</w:t>
            </w:r>
          </w:p>
        </w:tc>
      </w:tr>
      <w:tr>
        <w:tblPrEx>
          <w:tblCellMar>
            <w:top w:w="0" w:type="dxa"/>
            <w:left w:w="108" w:type="dxa"/>
            <w:bottom w:w="0" w:type="dxa"/>
            <w:right w:w="108" w:type="dxa"/>
          </w:tblCellMar>
        </w:tblPrEx>
        <w:trPr>
          <w:trHeight w:val="397" w:hRule="atLeast"/>
        </w:trPr>
        <w:tc>
          <w:tcPr>
            <w:tcW w:w="437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kern w:val="0"/>
                <w:szCs w:val="21"/>
              </w:rPr>
            </w:pPr>
            <w:r>
              <w:rPr>
                <w:rFonts w:hint="eastAsia" w:ascii="宋体" w:hAnsi="宋体" w:cs="宋体"/>
                <w:b/>
                <w:bCs/>
                <w:kern w:val="0"/>
                <w:szCs w:val="21"/>
              </w:rPr>
              <w:t>合  计</w:t>
            </w:r>
          </w:p>
        </w:tc>
        <w:tc>
          <w:tcPr>
            <w:tcW w:w="2157" w:type="dxa"/>
            <w:tcBorders>
              <w:top w:val="nil"/>
              <w:left w:val="nil"/>
              <w:bottom w:val="single" w:color="auto" w:sz="4" w:space="0"/>
              <w:right w:val="single" w:color="auto" w:sz="4" w:space="0"/>
            </w:tcBorders>
            <w:vAlign w:val="center"/>
          </w:tcPr>
          <w:p>
            <w:pPr>
              <w:widowControl/>
              <w:jc w:val="center"/>
              <w:rPr>
                <w:rFonts w:ascii="宋体" w:hAnsi="宋体" w:cs="宋体"/>
                <w:b/>
                <w:bCs/>
                <w:kern w:val="0"/>
                <w:szCs w:val="21"/>
              </w:rPr>
            </w:pPr>
            <w:r>
              <w:rPr>
                <w:rFonts w:hint="eastAsia" w:ascii="宋体" w:hAnsi="宋体" w:cs="宋体"/>
                <w:b/>
                <w:bCs/>
                <w:kern w:val="0"/>
                <w:szCs w:val="21"/>
                <w:lang w:val="en-US" w:eastAsia="zh-CN"/>
              </w:rPr>
              <w:t>51.99</w:t>
            </w:r>
            <w:r>
              <w:rPr>
                <w:rFonts w:hint="eastAsia" w:ascii="宋体" w:hAnsi="宋体" w:cs="宋体"/>
                <w:b/>
                <w:bCs/>
                <w:kern w:val="0"/>
                <w:szCs w:val="21"/>
              </w:rPr>
              <w:t>　</w:t>
            </w:r>
          </w:p>
        </w:tc>
        <w:tc>
          <w:tcPr>
            <w:tcW w:w="2220" w:type="dxa"/>
            <w:tcBorders>
              <w:top w:val="nil"/>
              <w:left w:val="nil"/>
              <w:bottom w:val="single" w:color="auto" w:sz="4" w:space="0"/>
              <w:right w:val="single" w:color="auto" w:sz="4" w:space="0"/>
            </w:tcBorders>
            <w:vAlign w:val="center"/>
          </w:tcPr>
          <w:p>
            <w:pPr>
              <w:widowControl/>
              <w:jc w:val="center"/>
              <w:rPr>
                <w:rFonts w:ascii="宋体" w:hAnsi="宋体" w:cs="宋体"/>
                <w:b/>
                <w:bCs/>
                <w:kern w:val="0"/>
                <w:szCs w:val="21"/>
              </w:rPr>
            </w:pPr>
            <w:r>
              <w:rPr>
                <w:rFonts w:hint="eastAsia" w:ascii="宋体" w:hAnsi="宋体" w:cs="宋体"/>
                <w:b/>
                <w:bCs/>
                <w:kern w:val="0"/>
                <w:szCs w:val="21"/>
                <w:lang w:val="en-US" w:eastAsia="zh-CN"/>
              </w:rPr>
              <w:t>48.07</w:t>
            </w:r>
            <w:r>
              <w:rPr>
                <w:rFonts w:hint="eastAsia" w:ascii="宋体" w:hAnsi="宋体" w:cs="宋体"/>
                <w:b/>
                <w:bCs/>
                <w:kern w:val="0"/>
                <w:szCs w:val="21"/>
              </w:rPr>
              <w:t>　</w:t>
            </w:r>
          </w:p>
        </w:tc>
      </w:tr>
      <w:tr>
        <w:tblPrEx>
          <w:tblCellMar>
            <w:top w:w="0" w:type="dxa"/>
            <w:left w:w="108" w:type="dxa"/>
            <w:bottom w:w="0" w:type="dxa"/>
            <w:right w:w="108" w:type="dxa"/>
          </w:tblCellMar>
        </w:tblPrEx>
        <w:trPr>
          <w:trHeight w:val="397" w:hRule="atLeast"/>
        </w:trPr>
        <w:tc>
          <w:tcPr>
            <w:tcW w:w="4379" w:type="dxa"/>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Cs w:val="21"/>
              </w:rPr>
            </w:pPr>
            <w:r>
              <w:rPr>
                <w:rFonts w:hint="eastAsia" w:ascii="宋体" w:hAnsi="宋体" w:cs="宋体"/>
                <w:kern w:val="0"/>
                <w:szCs w:val="21"/>
              </w:rPr>
              <w:t>因公出国（境）费</w:t>
            </w:r>
          </w:p>
        </w:tc>
        <w:tc>
          <w:tcPr>
            <w:tcW w:w="2157" w:type="dxa"/>
            <w:tcBorders>
              <w:top w:val="nil"/>
              <w:left w:val="nil"/>
              <w:bottom w:val="single" w:color="auto" w:sz="4" w:space="0"/>
              <w:right w:val="single" w:color="auto" w:sz="4" w:space="0"/>
            </w:tcBorders>
            <w:vAlign w:val="bottom"/>
          </w:tcPr>
          <w:p>
            <w:pPr>
              <w:widowControl/>
              <w:jc w:val="center"/>
              <w:rPr>
                <w:rFonts w:hint="eastAsia" w:ascii="宋体" w:hAnsi="宋体" w:eastAsia="仿宋_GB2312" w:cs="宋体"/>
                <w:kern w:val="0"/>
                <w:szCs w:val="21"/>
                <w:lang w:val="en-US" w:eastAsia="zh-CN"/>
              </w:rPr>
            </w:pPr>
            <w:r>
              <w:rPr>
                <w:rFonts w:hint="eastAsia" w:ascii="宋体" w:hAnsi="宋体" w:cs="宋体"/>
                <w:kern w:val="0"/>
                <w:szCs w:val="21"/>
                <w:lang w:val="en-US" w:eastAsia="zh-CN"/>
              </w:rPr>
              <w:t>0</w:t>
            </w:r>
          </w:p>
        </w:tc>
        <w:tc>
          <w:tcPr>
            <w:tcW w:w="2220" w:type="dxa"/>
            <w:tcBorders>
              <w:top w:val="nil"/>
              <w:left w:val="nil"/>
              <w:bottom w:val="single" w:color="auto" w:sz="4" w:space="0"/>
              <w:right w:val="single" w:color="auto" w:sz="4" w:space="0"/>
            </w:tcBorders>
            <w:vAlign w:val="bottom"/>
          </w:tcPr>
          <w:p>
            <w:pPr>
              <w:widowControl/>
              <w:jc w:val="center"/>
              <w:rPr>
                <w:rFonts w:hint="eastAsia" w:ascii="宋体" w:hAnsi="宋体" w:eastAsia="仿宋_GB2312" w:cs="宋体"/>
                <w:kern w:val="0"/>
                <w:szCs w:val="21"/>
                <w:lang w:val="en-US" w:eastAsia="zh-CN"/>
              </w:rPr>
            </w:pPr>
            <w:r>
              <w:rPr>
                <w:rFonts w:hint="eastAsia" w:ascii="宋体" w:hAnsi="宋体" w:cs="宋体"/>
                <w:kern w:val="0"/>
                <w:szCs w:val="21"/>
                <w:lang w:val="en-US" w:eastAsia="zh-CN"/>
              </w:rPr>
              <w:t>0</w:t>
            </w:r>
          </w:p>
        </w:tc>
      </w:tr>
      <w:tr>
        <w:tblPrEx>
          <w:tblCellMar>
            <w:top w:w="0" w:type="dxa"/>
            <w:left w:w="108" w:type="dxa"/>
            <w:bottom w:w="0" w:type="dxa"/>
            <w:right w:w="108" w:type="dxa"/>
          </w:tblCellMar>
        </w:tblPrEx>
        <w:trPr>
          <w:trHeight w:val="397" w:hRule="atLeast"/>
        </w:trPr>
        <w:tc>
          <w:tcPr>
            <w:tcW w:w="4379" w:type="dxa"/>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Cs w:val="21"/>
              </w:rPr>
            </w:pPr>
            <w:r>
              <w:rPr>
                <w:rFonts w:hint="eastAsia" w:ascii="宋体" w:hAnsi="宋体" w:cs="宋体"/>
                <w:kern w:val="0"/>
                <w:szCs w:val="21"/>
              </w:rPr>
              <w:t>公务接待费</w:t>
            </w:r>
          </w:p>
        </w:tc>
        <w:tc>
          <w:tcPr>
            <w:tcW w:w="2157" w:type="dxa"/>
            <w:tcBorders>
              <w:top w:val="nil"/>
              <w:left w:val="nil"/>
              <w:bottom w:val="single" w:color="auto" w:sz="4" w:space="0"/>
              <w:right w:val="single" w:color="auto" w:sz="4" w:space="0"/>
            </w:tcBorders>
            <w:vAlign w:val="bottom"/>
          </w:tcPr>
          <w:p>
            <w:pPr>
              <w:widowControl/>
              <w:jc w:val="center"/>
              <w:rPr>
                <w:rFonts w:hint="default" w:ascii="宋体" w:hAnsi="宋体" w:eastAsia="仿宋_GB2312" w:cs="宋体"/>
                <w:kern w:val="0"/>
                <w:szCs w:val="21"/>
                <w:lang w:val="en-US" w:eastAsia="zh-CN"/>
              </w:rPr>
            </w:pPr>
            <w:r>
              <w:rPr>
                <w:rFonts w:hint="eastAsia" w:ascii="宋体" w:hAnsi="宋体" w:cs="宋体"/>
                <w:kern w:val="0"/>
                <w:szCs w:val="21"/>
                <w:lang w:val="en-US" w:eastAsia="zh-CN"/>
              </w:rPr>
              <w:t>25.99</w:t>
            </w:r>
          </w:p>
        </w:tc>
        <w:tc>
          <w:tcPr>
            <w:tcW w:w="2220" w:type="dxa"/>
            <w:tcBorders>
              <w:top w:val="nil"/>
              <w:left w:val="nil"/>
              <w:bottom w:val="single" w:color="auto" w:sz="4" w:space="0"/>
              <w:right w:val="single" w:color="auto" w:sz="4" w:space="0"/>
            </w:tcBorders>
            <w:vAlign w:val="bottom"/>
          </w:tcPr>
          <w:p>
            <w:pPr>
              <w:widowControl/>
              <w:jc w:val="center"/>
              <w:rPr>
                <w:rFonts w:hint="default" w:ascii="宋体" w:hAnsi="宋体" w:eastAsia="仿宋_GB2312" w:cs="宋体"/>
                <w:kern w:val="0"/>
                <w:szCs w:val="21"/>
                <w:lang w:val="en-US" w:eastAsia="zh-CN"/>
              </w:rPr>
            </w:pPr>
            <w:r>
              <w:rPr>
                <w:rFonts w:hint="eastAsia" w:ascii="宋体" w:hAnsi="宋体" w:cs="宋体"/>
                <w:kern w:val="0"/>
                <w:szCs w:val="21"/>
                <w:lang w:val="en-US" w:eastAsia="zh-CN"/>
              </w:rPr>
              <w:t>25.99</w:t>
            </w:r>
          </w:p>
        </w:tc>
      </w:tr>
      <w:tr>
        <w:tblPrEx>
          <w:tblCellMar>
            <w:top w:w="0" w:type="dxa"/>
            <w:left w:w="108" w:type="dxa"/>
            <w:bottom w:w="0" w:type="dxa"/>
            <w:right w:w="108" w:type="dxa"/>
          </w:tblCellMar>
        </w:tblPrEx>
        <w:trPr>
          <w:trHeight w:val="397" w:hRule="atLeast"/>
        </w:trPr>
        <w:tc>
          <w:tcPr>
            <w:tcW w:w="4379" w:type="dxa"/>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Cs w:val="21"/>
              </w:rPr>
            </w:pPr>
            <w:r>
              <w:rPr>
                <w:rFonts w:hint="eastAsia" w:ascii="宋体" w:hAnsi="宋体" w:cs="宋体"/>
                <w:kern w:val="0"/>
                <w:szCs w:val="21"/>
              </w:rPr>
              <w:t>公务用车购置及运行维护费</w:t>
            </w:r>
          </w:p>
        </w:tc>
        <w:tc>
          <w:tcPr>
            <w:tcW w:w="2157" w:type="dxa"/>
            <w:tcBorders>
              <w:top w:val="nil"/>
              <w:left w:val="nil"/>
              <w:bottom w:val="single" w:color="auto" w:sz="4" w:space="0"/>
              <w:right w:val="single" w:color="auto" w:sz="4" w:space="0"/>
            </w:tcBorders>
            <w:vAlign w:val="bottom"/>
          </w:tcPr>
          <w:p>
            <w:pPr>
              <w:widowControl/>
              <w:jc w:val="center"/>
              <w:rPr>
                <w:rFonts w:hint="default" w:ascii="宋体" w:hAnsi="宋体" w:eastAsia="仿宋_GB2312" w:cs="宋体"/>
                <w:kern w:val="0"/>
                <w:szCs w:val="21"/>
                <w:lang w:val="en-US" w:eastAsia="zh-CN"/>
              </w:rPr>
            </w:pPr>
            <w:r>
              <w:rPr>
                <w:rFonts w:hint="eastAsia" w:ascii="宋体" w:hAnsi="宋体" w:cs="宋体"/>
                <w:kern w:val="0"/>
                <w:szCs w:val="21"/>
                <w:lang w:val="en-US" w:eastAsia="zh-CN"/>
              </w:rPr>
              <w:t>25.99</w:t>
            </w:r>
          </w:p>
        </w:tc>
        <w:tc>
          <w:tcPr>
            <w:tcW w:w="2220" w:type="dxa"/>
            <w:tcBorders>
              <w:top w:val="nil"/>
              <w:left w:val="nil"/>
              <w:bottom w:val="single" w:color="auto" w:sz="4" w:space="0"/>
              <w:right w:val="single" w:color="auto" w:sz="4" w:space="0"/>
            </w:tcBorders>
            <w:vAlign w:val="bottom"/>
          </w:tcPr>
          <w:p>
            <w:pPr>
              <w:widowControl/>
              <w:jc w:val="center"/>
              <w:rPr>
                <w:rFonts w:hint="default" w:ascii="宋体" w:hAnsi="宋体" w:eastAsia="仿宋_GB2312" w:cs="宋体"/>
                <w:kern w:val="0"/>
                <w:szCs w:val="21"/>
                <w:lang w:val="en-US" w:eastAsia="zh-CN"/>
              </w:rPr>
            </w:pPr>
            <w:r>
              <w:rPr>
                <w:rFonts w:hint="eastAsia" w:ascii="宋体" w:hAnsi="宋体" w:cs="宋体"/>
                <w:kern w:val="0"/>
                <w:szCs w:val="21"/>
                <w:lang w:val="en-US" w:eastAsia="zh-CN"/>
              </w:rPr>
              <w:t>22.08</w:t>
            </w:r>
          </w:p>
        </w:tc>
      </w:tr>
      <w:tr>
        <w:tblPrEx>
          <w:tblCellMar>
            <w:top w:w="0" w:type="dxa"/>
            <w:left w:w="108" w:type="dxa"/>
            <w:bottom w:w="0" w:type="dxa"/>
            <w:right w:w="108" w:type="dxa"/>
          </w:tblCellMar>
        </w:tblPrEx>
        <w:trPr>
          <w:trHeight w:val="397" w:hRule="atLeast"/>
        </w:trPr>
        <w:tc>
          <w:tcPr>
            <w:tcW w:w="4379" w:type="dxa"/>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Cs w:val="21"/>
              </w:rPr>
            </w:pPr>
            <w:r>
              <w:rPr>
                <w:rFonts w:hint="eastAsia" w:ascii="宋体" w:hAnsi="宋体" w:cs="宋体"/>
                <w:kern w:val="0"/>
                <w:szCs w:val="21"/>
              </w:rPr>
              <w:t xml:space="preserve">  其中：公务用车运行维护费</w:t>
            </w:r>
          </w:p>
        </w:tc>
        <w:tc>
          <w:tcPr>
            <w:tcW w:w="2157" w:type="dxa"/>
            <w:tcBorders>
              <w:top w:val="nil"/>
              <w:left w:val="nil"/>
              <w:bottom w:val="single" w:color="auto" w:sz="4" w:space="0"/>
              <w:right w:val="single" w:color="auto" w:sz="4" w:space="0"/>
            </w:tcBorders>
            <w:vAlign w:val="bottom"/>
          </w:tcPr>
          <w:p>
            <w:pPr>
              <w:widowControl/>
              <w:jc w:val="left"/>
              <w:rPr>
                <w:rFonts w:ascii="宋体" w:hAnsi="宋体" w:cs="宋体"/>
                <w:kern w:val="0"/>
                <w:szCs w:val="21"/>
              </w:rPr>
            </w:pPr>
            <w:r>
              <w:rPr>
                <w:rFonts w:hint="eastAsia" w:ascii="宋体" w:hAnsi="宋体" w:cs="宋体"/>
                <w:kern w:val="0"/>
                <w:szCs w:val="21"/>
              </w:rPr>
              <w:t>　</w:t>
            </w:r>
          </w:p>
        </w:tc>
        <w:tc>
          <w:tcPr>
            <w:tcW w:w="2220" w:type="dxa"/>
            <w:tcBorders>
              <w:top w:val="nil"/>
              <w:left w:val="nil"/>
              <w:bottom w:val="single" w:color="auto" w:sz="4" w:space="0"/>
              <w:right w:val="single" w:color="auto" w:sz="4" w:space="0"/>
            </w:tcBorders>
            <w:vAlign w:val="bottom"/>
          </w:tcPr>
          <w:p>
            <w:pPr>
              <w:widowControl/>
              <w:jc w:val="left"/>
              <w:rPr>
                <w:rFonts w:ascii="宋体" w:hAnsi="宋体" w:cs="宋体"/>
                <w:kern w:val="0"/>
                <w:szCs w:val="21"/>
              </w:rPr>
            </w:pPr>
            <w:r>
              <w:rPr>
                <w:rFonts w:hint="eastAsia" w:ascii="宋体" w:hAnsi="宋体" w:cs="宋体"/>
                <w:kern w:val="0"/>
                <w:szCs w:val="21"/>
              </w:rPr>
              <w:t>　</w:t>
            </w:r>
          </w:p>
        </w:tc>
      </w:tr>
      <w:tr>
        <w:tblPrEx>
          <w:tblCellMar>
            <w:top w:w="0" w:type="dxa"/>
            <w:left w:w="108" w:type="dxa"/>
            <w:bottom w:w="0" w:type="dxa"/>
            <w:right w:w="108" w:type="dxa"/>
          </w:tblCellMar>
        </w:tblPrEx>
        <w:trPr>
          <w:trHeight w:val="397" w:hRule="atLeast"/>
        </w:trPr>
        <w:tc>
          <w:tcPr>
            <w:tcW w:w="4379" w:type="dxa"/>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Cs w:val="21"/>
              </w:rPr>
            </w:pPr>
            <w:r>
              <w:rPr>
                <w:rFonts w:hint="eastAsia" w:ascii="宋体" w:hAnsi="宋体" w:cs="宋体"/>
                <w:kern w:val="0"/>
                <w:szCs w:val="21"/>
              </w:rPr>
              <w:t xml:space="preserve">        公务用车购置费 </w:t>
            </w:r>
          </w:p>
        </w:tc>
        <w:tc>
          <w:tcPr>
            <w:tcW w:w="2157" w:type="dxa"/>
            <w:tcBorders>
              <w:top w:val="nil"/>
              <w:left w:val="nil"/>
              <w:bottom w:val="single" w:color="auto" w:sz="4" w:space="0"/>
              <w:right w:val="single" w:color="auto" w:sz="4" w:space="0"/>
            </w:tcBorders>
            <w:vAlign w:val="bottom"/>
          </w:tcPr>
          <w:p>
            <w:pPr>
              <w:widowControl/>
              <w:jc w:val="center"/>
              <w:rPr>
                <w:rFonts w:hint="default" w:ascii="宋体" w:hAnsi="宋体" w:eastAsia="仿宋_GB2312" w:cs="宋体"/>
                <w:kern w:val="0"/>
                <w:szCs w:val="21"/>
                <w:lang w:val="en-US" w:eastAsia="zh-CN"/>
              </w:rPr>
            </w:pPr>
            <w:r>
              <w:rPr>
                <w:rFonts w:hint="eastAsia" w:ascii="宋体" w:hAnsi="宋体" w:cs="宋体"/>
                <w:kern w:val="0"/>
                <w:szCs w:val="21"/>
                <w:lang w:val="en-US" w:eastAsia="zh-CN"/>
              </w:rPr>
              <w:t>25.99</w:t>
            </w:r>
          </w:p>
        </w:tc>
        <w:tc>
          <w:tcPr>
            <w:tcW w:w="2220" w:type="dxa"/>
            <w:tcBorders>
              <w:top w:val="nil"/>
              <w:left w:val="nil"/>
              <w:bottom w:val="single" w:color="auto" w:sz="4" w:space="0"/>
              <w:right w:val="single" w:color="auto" w:sz="4" w:space="0"/>
            </w:tcBorders>
            <w:vAlign w:val="bottom"/>
          </w:tcPr>
          <w:p>
            <w:pPr>
              <w:widowControl/>
              <w:jc w:val="center"/>
              <w:rPr>
                <w:rFonts w:hint="default" w:ascii="宋体" w:hAnsi="宋体" w:eastAsia="仿宋_GB2312" w:cs="宋体"/>
                <w:kern w:val="0"/>
                <w:szCs w:val="21"/>
                <w:lang w:val="en-US" w:eastAsia="zh-CN"/>
              </w:rPr>
            </w:pPr>
            <w:r>
              <w:rPr>
                <w:rFonts w:hint="eastAsia" w:ascii="宋体" w:hAnsi="宋体" w:cs="宋体"/>
                <w:kern w:val="0"/>
                <w:szCs w:val="21"/>
                <w:lang w:val="en-US" w:eastAsia="zh-CN"/>
              </w:rPr>
              <w:t>22.08</w:t>
            </w:r>
          </w:p>
        </w:tc>
      </w:tr>
    </w:tbl>
    <w:p>
      <w:pPr>
        <w:ind w:firstLine="420" w:firstLineChars="200"/>
        <w:rPr>
          <w:rFonts w:hint="eastAsia" w:ascii="仿宋_GB2312" w:hAnsi="仿宋"/>
          <w:sz w:val="21"/>
          <w:szCs w:val="21"/>
          <w:lang w:val="en-US" w:eastAsia="zh-CN"/>
        </w:rPr>
      </w:pPr>
    </w:p>
    <w:p>
      <w:pPr>
        <w:ind w:firstLine="420" w:firstLineChars="200"/>
        <w:rPr>
          <w:rFonts w:hint="eastAsia" w:ascii="黑体" w:hAnsi="黑体" w:eastAsia="黑体"/>
          <w:szCs w:val="32"/>
        </w:rPr>
      </w:pPr>
      <w:r>
        <w:rPr>
          <w:rFonts w:hint="eastAsia" w:ascii="仿宋_GB2312" w:hAnsi="仿宋"/>
          <w:sz w:val="21"/>
          <w:szCs w:val="21"/>
          <w:lang w:val="en-US" w:eastAsia="zh-CN"/>
        </w:rPr>
        <w:t>注：本表反映部门本年度一般公共预算财政拨款“三公”经费支出预决算情况。其中，预算数为“三公”经费全年预算数，反映按规定程序调整后的预算数;决算数是包括当年一般公共预算财政拨款和以前年度结转资金安排的实际支出。</w:t>
      </w:r>
      <w:r>
        <w:rPr>
          <w:rFonts w:hint="eastAsia" w:ascii="仿宋_GB2312" w:hAnsi="仿宋"/>
          <w:sz w:val="21"/>
          <w:szCs w:val="21"/>
          <w:lang w:eastAsia="zh-CN"/>
        </w:rPr>
        <w:t xml:space="preserve"> </w:t>
      </w:r>
      <w:r>
        <w:rPr>
          <w:rFonts w:hint="eastAsia" w:ascii="黑体" w:hAnsi="黑体" w:eastAsia="黑体"/>
          <w:szCs w:val="32"/>
        </w:rPr>
        <w:t xml:space="preserve"> </w:t>
      </w:r>
    </w:p>
    <w:p>
      <w:pPr>
        <w:ind w:firstLine="640" w:firstLineChars="200"/>
        <w:rPr>
          <w:rFonts w:ascii="黑体" w:hAnsi="黑体" w:eastAsia="黑体"/>
          <w:szCs w:val="32"/>
        </w:rPr>
      </w:pPr>
      <w:r>
        <w:rPr>
          <w:rFonts w:hint="eastAsia" w:ascii="黑体" w:hAnsi="黑体" w:eastAsia="黑体"/>
          <w:szCs w:val="32"/>
        </w:rPr>
        <w:t xml:space="preserve">                                     </w:t>
      </w:r>
    </w:p>
    <w:p>
      <w:pPr>
        <w:rPr>
          <w:rFonts w:ascii="黑体" w:hAnsi="黑体" w:eastAsia="黑体"/>
          <w:szCs w:val="32"/>
        </w:rPr>
      </w:pPr>
      <w:r>
        <w:rPr>
          <w:rFonts w:ascii="黑体" w:hAnsi="黑体" w:eastAsia="黑体"/>
          <w:szCs w:val="32"/>
        </w:rPr>
        <w:t xml:space="preserve">    </w:t>
      </w:r>
      <w:r>
        <w:rPr>
          <w:rFonts w:hint="eastAsia" w:ascii="黑体" w:hAnsi="黑体" w:eastAsia="黑体"/>
          <w:szCs w:val="32"/>
        </w:rPr>
        <w:t>二</w:t>
      </w:r>
      <w:r>
        <w:rPr>
          <w:rFonts w:ascii="黑体" w:hAnsi="黑体" w:eastAsia="黑体"/>
          <w:szCs w:val="32"/>
        </w:rPr>
        <w:t>、</w:t>
      </w:r>
      <w:r>
        <w:rPr>
          <w:rFonts w:hint="eastAsia" w:ascii="黑体" w:hAnsi="黑体" w:eastAsia="黑体"/>
          <w:szCs w:val="32"/>
          <w:lang w:eastAsia="zh-CN"/>
        </w:rPr>
        <w:t>2023</w:t>
      </w:r>
      <w:r>
        <w:rPr>
          <w:rFonts w:ascii="黑体" w:hAnsi="黑体" w:eastAsia="黑体"/>
          <w:szCs w:val="32"/>
        </w:rPr>
        <w:t>年</w:t>
      </w:r>
      <w:r>
        <w:rPr>
          <w:rFonts w:hint="eastAsia" w:ascii="黑体" w:hAnsi="黑体" w:eastAsia="黑体"/>
          <w:szCs w:val="32"/>
        </w:rPr>
        <w:t>度一般公共预算财政拨款“三公”经费支出</w:t>
      </w:r>
      <w:r>
        <w:rPr>
          <w:rFonts w:ascii="黑体" w:hAnsi="黑体" w:eastAsia="黑体"/>
          <w:szCs w:val="32"/>
        </w:rPr>
        <w:t>情况说明</w:t>
      </w:r>
    </w:p>
    <w:p>
      <w:pPr>
        <w:ind w:firstLine="643" w:firstLineChars="200"/>
        <w:rPr>
          <w:rFonts w:ascii="仿宋_GB2312" w:hAnsi="仿宋"/>
          <w:b/>
          <w:szCs w:val="32"/>
        </w:rPr>
      </w:pPr>
      <w:r>
        <w:rPr>
          <w:rFonts w:hint="eastAsia" w:ascii="仿宋_GB2312" w:hAnsi="仿宋"/>
          <w:b/>
          <w:szCs w:val="32"/>
        </w:rPr>
        <w:t>（一）一般公共预算财政拨款“三公”经费支出决算总体情况说明。</w:t>
      </w:r>
    </w:p>
    <w:p>
      <w:pPr>
        <w:ind w:firstLine="640" w:firstLineChars="200"/>
        <w:rPr>
          <w:rFonts w:hint="eastAsia" w:ascii="仿宋_GB2312" w:hAnsi="仿宋" w:cs="Times New Roman"/>
          <w:szCs w:val="32"/>
        </w:rPr>
      </w:pPr>
      <w:r>
        <w:rPr>
          <w:rFonts w:hint="eastAsia" w:ascii="仿宋_GB2312" w:hAnsi="仿宋"/>
          <w:szCs w:val="32"/>
          <w:lang w:eastAsia="zh-CN"/>
        </w:rPr>
        <w:t>杜集区高岳街道办事处2023</w:t>
      </w:r>
      <w:r>
        <w:rPr>
          <w:rFonts w:hint="eastAsia" w:ascii="仿宋_GB2312" w:hAnsi="仿宋"/>
          <w:szCs w:val="32"/>
        </w:rPr>
        <w:t>年度一般公共预算财政拨款“三公”经费支出预算为</w:t>
      </w:r>
      <w:r>
        <w:rPr>
          <w:rFonts w:hint="eastAsia" w:ascii="仿宋_GB2312" w:hAnsi="仿宋"/>
          <w:szCs w:val="32"/>
          <w:lang w:val="en-US" w:eastAsia="zh-CN"/>
        </w:rPr>
        <w:t>51.99</w:t>
      </w:r>
      <w:r>
        <w:rPr>
          <w:rFonts w:hint="eastAsia" w:ascii="仿宋_GB2312" w:hAnsi="仿宋"/>
          <w:szCs w:val="32"/>
        </w:rPr>
        <w:t>万元，支出决算为</w:t>
      </w:r>
      <w:r>
        <w:rPr>
          <w:rFonts w:hint="eastAsia" w:ascii="仿宋_GB2312" w:hAnsi="仿宋"/>
          <w:szCs w:val="32"/>
          <w:lang w:val="en-US" w:eastAsia="zh-CN"/>
        </w:rPr>
        <w:t>48.07</w:t>
      </w:r>
      <w:r>
        <w:rPr>
          <w:rFonts w:hint="eastAsia" w:ascii="仿宋_GB2312" w:hAnsi="仿宋"/>
          <w:szCs w:val="32"/>
        </w:rPr>
        <w:t>万元，完成预算的</w:t>
      </w:r>
      <w:r>
        <w:rPr>
          <w:rFonts w:hint="eastAsia" w:ascii="仿宋_GB2312" w:hAnsi="仿宋"/>
          <w:szCs w:val="32"/>
          <w:lang w:val="en-US" w:eastAsia="zh-CN"/>
        </w:rPr>
        <w:t>92.46</w:t>
      </w:r>
      <w:r>
        <w:rPr>
          <w:rFonts w:hint="eastAsia" w:ascii="仿宋_GB2312" w:hAnsi="仿宋"/>
          <w:szCs w:val="32"/>
        </w:rPr>
        <w:t>%，</w:t>
      </w:r>
      <w:r>
        <w:rPr>
          <w:rFonts w:hint="eastAsia" w:ascii="仿宋_GB2312" w:hAnsi="仿宋" w:cs="Times New Roman"/>
          <w:szCs w:val="32"/>
          <w:lang w:eastAsia="zh-CN"/>
        </w:rPr>
        <w:t>较上年减少</w:t>
      </w:r>
      <w:r>
        <w:rPr>
          <w:rFonts w:hint="eastAsia" w:ascii="仿宋_GB2312" w:hAnsi="仿宋" w:cs="Times New Roman"/>
          <w:szCs w:val="32"/>
          <w:lang w:val="en-US" w:eastAsia="zh-CN"/>
        </w:rPr>
        <w:t>0.69</w:t>
      </w:r>
      <w:r>
        <w:rPr>
          <w:rFonts w:hint="eastAsia" w:ascii="仿宋_GB2312" w:hAnsi="仿宋" w:cs="Times New Roman"/>
          <w:szCs w:val="32"/>
        </w:rPr>
        <w:t>万元</w:t>
      </w:r>
      <w:r>
        <w:rPr>
          <w:rFonts w:hint="eastAsia" w:ascii="仿宋_GB2312" w:hAnsi="仿宋" w:cs="Times New Roman"/>
          <w:szCs w:val="32"/>
          <w:lang w:eastAsia="zh-CN"/>
        </w:rPr>
        <w:t>，增长</w:t>
      </w:r>
      <w:r>
        <w:rPr>
          <w:rFonts w:hint="eastAsia" w:ascii="仿宋_GB2312" w:hAnsi="仿宋" w:cs="Times New Roman"/>
          <w:szCs w:val="32"/>
          <w:lang w:val="en-US" w:eastAsia="zh-CN"/>
        </w:rPr>
        <w:t>1.42%。</w:t>
      </w:r>
      <w:r>
        <w:rPr>
          <w:rFonts w:hint="eastAsia" w:ascii="仿宋_GB2312" w:hAnsi="仿宋" w:cs="Times New Roman"/>
          <w:szCs w:val="32"/>
        </w:rPr>
        <w:t>决算数</w:t>
      </w:r>
      <w:r>
        <w:rPr>
          <w:rFonts w:hint="eastAsia" w:ascii="仿宋_GB2312" w:hAnsi="仿宋" w:cs="Times New Roman"/>
          <w:szCs w:val="32"/>
          <w:lang w:eastAsia="zh-CN"/>
        </w:rPr>
        <w:t>小</w:t>
      </w:r>
      <w:r>
        <w:rPr>
          <w:rFonts w:hint="eastAsia" w:ascii="仿宋_GB2312" w:hAnsi="仿宋" w:cs="Times New Roman"/>
          <w:szCs w:val="32"/>
        </w:rPr>
        <w:t>于预算数的主要原因是压缩开支。决算数</w:t>
      </w:r>
      <w:r>
        <w:rPr>
          <w:rFonts w:hint="eastAsia" w:ascii="仿宋_GB2312" w:hAnsi="仿宋" w:cs="Times New Roman"/>
          <w:szCs w:val="32"/>
          <w:lang w:eastAsia="zh-CN"/>
        </w:rPr>
        <w:t>较上年减少</w:t>
      </w:r>
      <w:r>
        <w:rPr>
          <w:rFonts w:hint="eastAsia" w:ascii="仿宋_GB2312" w:hAnsi="仿宋" w:cs="Times New Roman"/>
          <w:szCs w:val="32"/>
        </w:rPr>
        <w:t>的主要原因是压缩开支。</w:t>
      </w:r>
    </w:p>
    <w:p>
      <w:pPr>
        <w:pStyle w:val="2"/>
      </w:pPr>
    </w:p>
    <w:p>
      <w:pPr>
        <w:ind w:firstLine="643" w:firstLineChars="200"/>
        <w:rPr>
          <w:rFonts w:ascii="仿宋_GB2312" w:hAnsi="仿宋"/>
          <w:b/>
          <w:szCs w:val="32"/>
        </w:rPr>
      </w:pPr>
      <w:r>
        <w:rPr>
          <w:rFonts w:hint="eastAsia" w:ascii="仿宋_GB2312" w:hAnsi="仿宋"/>
          <w:b/>
          <w:bCs/>
          <w:szCs w:val="32"/>
        </w:rPr>
        <w:t>（二）</w:t>
      </w:r>
      <w:r>
        <w:rPr>
          <w:rFonts w:hint="eastAsia" w:ascii="仿宋_GB2312" w:hAnsi="仿宋"/>
          <w:b/>
          <w:szCs w:val="32"/>
        </w:rPr>
        <w:t>一般公共预算财政拨款“三公”经费支出决算具体情况说明。</w:t>
      </w:r>
    </w:p>
    <w:p>
      <w:pPr>
        <w:ind w:firstLine="640" w:firstLineChars="200"/>
        <w:rPr>
          <w:rFonts w:ascii="仿宋_GB2312" w:hAnsi="仿宋"/>
          <w:szCs w:val="32"/>
        </w:rPr>
      </w:pPr>
      <w:r>
        <w:rPr>
          <w:rFonts w:hint="eastAsia" w:ascii="仿宋_GB2312" w:hAnsi="仿宋"/>
          <w:szCs w:val="32"/>
          <w:lang w:eastAsia="zh-CN"/>
        </w:rPr>
        <w:t>杜集区高岳街道办事处2023</w:t>
      </w:r>
      <w:r>
        <w:rPr>
          <w:rFonts w:hint="eastAsia" w:ascii="仿宋_GB2312" w:hAnsi="仿宋"/>
          <w:szCs w:val="32"/>
        </w:rPr>
        <w:t>年度一般公共预算财政拨款“三公”经费支出决算中，因公出国（境）费支出决算</w:t>
      </w:r>
      <w:r>
        <w:rPr>
          <w:rFonts w:hint="eastAsia" w:ascii="仿宋_GB2312" w:hAnsi="仿宋"/>
          <w:szCs w:val="32"/>
          <w:lang w:val="en-US" w:eastAsia="zh-CN"/>
        </w:rPr>
        <w:t>0</w:t>
      </w:r>
      <w:r>
        <w:rPr>
          <w:rFonts w:hint="eastAsia" w:ascii="仿宋_GB2312" w:hAnsi="仿宋"/>
          <w:szCs w:val="32"/>
        </w:rPr>
        <w:t>万元，占</w:t>
      </w:r>
      <w:r>
        <w:rPr>
          <w:rFonts w:hint="eastAsia" w:ascii="仿宋_GB2312" w:hAnsi="仿宋"/>
          <w:szCs w:val="32"/>
          <w:lang w:val="en-US" w:eastAsia="zh-CN"/>
        </w:rPr>
        <w:t>0</w:t>
      </w:r>
      <w:r>
        <w:rPr>
          <w:rFonts w:hint="eastAsia" w:ascii="仿宋_GB2312" w:hAnsi="仿宋"/>
          <w:szCs w:val="32"/>
        </w:rPr>
        <w:t>%;公务接待费支出决算</w:t>
      </w:r>
      <w:r>
        <w:rPr>
          <w:rFonts w:hint="eastAsia" w:ascii="仿宋_GB2312" w:hAnsi="仿宋"/>
          <w:szCs w:val="32"/>
          <w:lang w:val="en-US" w:eastAsia="zh-CN"/>
        </w:rPr>
        <w:t>25.99</w:t>
      </w:r>
      <w:r>
        <w:rPr>
          <w:rFonts w:hint="eastAsia" w:ascii="仿宋_GB2312" w:hAnsi="仿宋"/>
          <w:szCs w:val="32"/>
        </w:rPr>
        <w:t>万元，占</w:t>
      </w:r>
      <w:r>
        <w:rPr>
          <w:rFonts w:hint="eastAsia" w:ascii="仿宋_GB2312" w:hAnsi="仿宋"/>
          <w:szCs w:val="32"/>
          <w:lang w:val="en-US" w:eastAsia="zh-CN"/>
        </w:rPr>
        <w:t>54.07</w:t>
      </w:r>
      <w:r>
        <w:rPr>
          <w:rFonts w:hint="eastAsia" w:ascii="仿宋_GB2312" w:hAnsi="仿宋"/>
          <w:szCs w:val="32"/>
        </w:rPr>
        <w:t>%；公务用车购置及运行维护费支出决算</w:t>
      </w:r>
      <w:r>
        <w:rPr>
          <w:rFonts w:hint="eastAsia" w:ascii="仿宋_GB2312" w:hAnsi="仿宋"/>
          <w:szCs w:val="32"/>
          <w:lang w:val="en-US" w:eastAsia="zh-CN"/>
        </w:rPr>
        <w:t>22.08</w:t>
      </w:r>
      <w:r>
        <w:rPr>
          <w:rFonts w:hint="eastAsia" w:ascii="仿宋_GB2312" w:hAnsi="仿宋"/>
          <w:szCs w:val="32"/>
        </w:rPr>
        <w:t>万元，占</w:t>
      </w:r>
      <w:r>
        <w:rPr>
          <w:rFonts w:hint="eastAsia" w:ascii="仿宋_GB2312" w:hAnsi="仿宋"/>
          <w:szCs w:val="32"/>
          <w:lang w:val="en-US" w:eastAsia="zh-CN"/>
        </w:rPr>
        <w:t>45.93</w:t>
      </w:r>
      <w:r>
        <w:rPr>
          <w:rFonts w:hint="eastAsia" w:ascii="仿宋_GB2312" w:hAnsi="仿宋"/>
          <w:szCs w:val="32"/>
        </w:rPr>
        <w:t>%。具体情况如下：</w:t>
      </w:r>
    </w:p>
    <w:p>
      <w:pPr>
        <w:ind w:firstLine="628"/>
        <w:rPr>
          <w:rFonts w:hint="eastAsia"/>
        </w:rPr>
      </w:pPr>
      <w:r>
        <w:rPr>
          <w:rFonts w:hint="eastAsia" w:ascii="仿宋_GB2312" w:hAnsi="仿宋"/>
          <w:b/>
          <w:bCs/>
          <w:szCs w:val="32"/>
        </w:rPr>
        <w:t>1.因公出国（境）费支出</w:t>
      </w:r>
      <w:r>
        <w:rPr>
          <w:rFonts w:hint="eastAsia" w:ascii="仿宋_GB2312" w:hAnsi="仿宋"/>
          <w:szCs w:val="32"/>
        </w:rPr>
        <w:t>预算为0万元，支出决算为0万元，完成预算的100%，决算数与预算数相同；较上年减少0万元，下降0%。原因是202</w:t>
      </w:r>
      <w:r>
        <w:rPr>
          <w:rFonts w:hint="eastAsia" w:ascii="仿宋_GB2312" w:hAnsi="仿宋"/>
          <w:szCs w:val="32"/>
          <w:lang w:val="en-US" w:eastAsia="zh-CN"/>
        </w:rPr>
        <w:t>2</w:t>
      </w:r>
      <w:r>
        <w:rPr>
          <w:rFonts w:hint="eastAsia" w:ascii="仿宋_GB2312" w:hAnsi="仿宋"/>
          <w:szCs w:val="32"/>
        </w:rPr>
        <w:t>年度、202</w:t>
      </w:r>
      <w:r>
        <w:rPr>
          <w:rFonts w:hint="eastAsia" w:ascii="仿宋_GB2312" w:hAnsi="仿宋"/>
          <w:szCs w:val="32"/>
          <w:lang w:val="en-US" w:eastAsia="zh-CN"/>
        </w:rPr>
        <w:t>3</w:t>
      </w:r>
      <w:r>
        <w:rPr>
          <w:rFonts w:hint="eastAsia" w:ascii="仿宋_GB2312" w:hAnsi="仿宋"/>
          <w:szCs w:val="32"/>
        </w:rPr>
        <w:t>年度均未安排因公出国（境）计划。故202</w:t>
      </w:r>
      <w:r>
        <w:rPr>
          <w:rFonts w:hint="eastAsia" w:ascii="仿宋_GB2312" w:hAnsi="仿宋"/>
          <w:szCs w:val="32"/>
          <w:lang w:val="en-US" w:eastAsia="zh-CN"/>
        </w:rPr>
        <w:t>3</w:t>
      </w:r>
      <w:r>
        <w:rPr>
          <w:rFonts w:hint="eastAsia" w:ascii="仿宋_GB2312" w:hAnsi="仿宋"/>
          <w:szCs w:val="32"/>
        </w:rPr>
        <w:t>年杜集区高岳街道办事处因公出国（境）团组0次，出国（境）0人次</w:t>
      </w:r>
    </w:p>
    <w:p>
      <w:pPr>
        <w:ind w:firstLine="628"/>
        <w:rPr>
          <w:rFonts w:ascii="仿宋_GB2312" w:hAnsi="仿宋"/>
          <w:szCs w:val="32"/>
        </w:rPr>
      </w:pPr>
      <w:r>
        <w:rPr>
          <w:rFonts w:hint="eastAsia" w:ascii="仿宋_GB2312" w:hAnsi="仿宋"/>
          <w:b/>
          <w:bCs/>
          <w:szCs w:val="32"/>
        </w:rPr>
        <w:t>2.公务接待费支出</w:t>
      </w:r>
      <w:r>
        <w:rPr>
          <w:rFonts w:hint="eastAsia" w:ascii="仿宋_GB2312" w:hAnsi="仿宋" w:cs="Times New Roman"/>
          <w:szCs w:val="32"/>
          <w:lang w:eastAsia="zh-CN"/>
        </w:rPr>
        <w:t>预算为25.99万元，支出决算为25.99</w:t>
      </w:r>
      <w:r>
        <w:rPr>
          <w:rFonts w:hint="eastAsia" w:ascii="仿宋_GB2312" w:hAnsi="仿宋" w:cs="Times New Roman"/>
          <w:szCs w:val="32"/>
          <w:lang w:val="en-US" w:eastAsia="zh-CN"/>
        </w:rPr>
        <w:t>万元</w:t>
      </w:r>
      <w:r>
        <w:rPr>
          <w:rFonts w:hint="eastAsia" w:ascii="仿宋_GB2312" w:hAnsi="仿宋" w:cs="Times New Roman"/>
          <w:szCs w:val="32"/>
          <w:lang w:eastAsia="zh-CN"/>
        </w:rPr>
        <w:t>，完成预算的</w:t>
      </w:r>
      <w:r>
        <w:rPr>
          <w:rFonts w:hint="eastAsia" w:ascii="仿宋_GB2312" w:hAnsi="仿宋" w:cs="Times New Roman"/>
          <w:szCs w:val="32"/>
          <w:lang w:val="en-US" w:eastAsia="zh-CN"/>
        </w:rPr>
        <w:t>100</w:t>
      </w:r>
      <w:r>
        <w:rPr>
          <w:rFonts w:hint="eastAsia" w:ascii="仿宋_GB2312" w:hAnsi="仿宋" w:cs="Times New Roman"/>
          <w:szCs w:val="32"/>
          <w:lang w:eastAsia="zh-CN"/>
        </w:rPr>
        <w:t>%；较上年减少</w:t>
      </w:r>
      <w:r>
        <w:rPr>
          <w:rFonts w:hint="eastAsia" w:ascii="仿宋_GB2312" w:hAnsi="仿宋" w:cs="Times New Roman"/>
          <w:szCs w:val="32"/>
          <w:lang w:val="en-US" w:eastAsia="zh-CN"/>
        </w:rPr>
        <w:t>1.42</w:t>
      </w:r>
      <w:r>
        <w:rPr>
          <w:rFonts w:hint="eastAsia" w:ascii="仿宋_GB2312" w:hAnsi="仿宋" w:cs="Times New Roman"/>
          <w:szCs w:val="32"/>
        </w:rPr>
        <w:t>万元</w:t>
      </w:r>
      <w:r>
        <w:rPr>
          <w:rFonts w:hint="eastAsia" w:ascii="仿宋_GB2312" w:hAnsi="仿宋" w:cs="Times New Roman"/>
          <w:szCs w:val="32"/>
          <w:lang w:eastAsia="zh-CN"/>
        </w:rPr>
        <w:t>，下降</w:t>
      </w:r>
      <w:r>
        <w:rPr>
          <w:rFonts w:hint="eastAsia" w:ascii="仿宋_GB2312" w:hAnsi="仿宋" w:cs="Times New Roman"/>
          <w:szCs w:val="32"/>
          <w:lang w:val="en-US" w:eastAsia="zh-CN"/>
        </w:rPr>
        <w:t>5.18%。</w:t>
      </w:r>
      <w:r>
        <w:rPr>
          <w:rFonts w:hint="eastAsia" w:ascii="仿宋_GB2312" w:hAnsi="仿宋" w:cs="Times New Roman"/>
          <w:szCs w:val="32"/>
        </w:rPr>
        <w:t>决算数</w:t>
      </w:r>
      <w:r>
        <w:rPr>
          <w:rFonts w:hint="eastAsia" w:ascii="仿宋_GB2312" w:hAnsi="仿宋" w:cs="Times New Roman"/>
          <w:szCs w:val="32"/>
          <w:lang w:eastAsia="zh-CN"/>
        </w:rPr>
        <w:t>小</w:t>
      </w:r>
      <w:r>
        <w:rPr>
          <w:rFonts w:hint="eastAsia" w:ascii="仿宋_GB2312" w:hAnsi="仿宋" w:cs="Times New Roman"/>
          <w:szCs w:val="32"/>
        </w:rPr>
        <w:t>于预算数的主要原因是压缩开支。决算数</w:t>
      </w:r>
      <w:r>
        <w:rPr>
          <w:rFonts w:hint="eastAsia" w:ascii="仿宋_GB2312" w:hAnsi="仿宋" w:cs="Times New Roman"/>
          <w:szCs w:val="32"/>
          <w:lang w:eastAsia="zh-CN"/>
        </w:rPr>
        <w:t>较上年减少</w:t>
      </w:r>
      <w:r>
        <w:rPr>
          <w:rFonts w:hint="eastAsia" w:ascii="仿宋_GB2312" w:hAnsi="仿宋" w:cs="Times New Roman"/>
          <w:szCs w:val="32"/>
        </w:rPr>
        <w:t>的主要原因是压缩开支。</w:t>
      </w:r>
      <w:r>
        <w:rPr>
          <w:rFonts w:hint="eastAsia" w:ascii="仿宋_GB2312" w:hAnsi="仿宋"/>
          <w:szCs w:val="32"/>
          <w:lang w:eastAsia="zh-CN"/>
        </w:rPr>
        <w:t>2023</w:t>
      </w:r>
      <w:r>
        <w:rPr>
          <w:rFonts w:hint="eastAsia" w:ascii="仿宋_GB2312" w:hAnsi="仿宋"/>
          <w:szCs w:val="32"/>
        </w:rPr>
        <w:t>年</w:t>
      </w:r>
      <w:r>
        <w:rPr>
          <w:rFonts w:hint="eastAsia" w:ascii="仿宋_GB2312" w:hAnsi="仿宋"/>
          <w:szCs w:val="32"/>
          <w:lang w:eastAsia="zh-CN"/>
        </w:rPr>
        <w:t>杜集区高岳街道办事处</w:t>
      </w:r>
      <w:r>
        <w:rPr>
          <w:rFonts w:hint="eastAsia" w:ascii="仿宋_GB2312" w:hAnsi="仿宋"/>
          <w:szCs w:val="32"/>
        </w:rPr>
        <w:t>国内公务接待共2</w:t>
      </w:r>
      <w:r>
        <w:rPr>
          <w:rFonts w:hint="eastAsia" w:ascii="仿宋_GB2312" w:hAnsi="仿宋"/>
          <w:szCs w:val="32"/>
          <w:lang w:val="en-US" w:eastAsia="zh-CN"/>
        </w:rPr>
        <w:t>04</w:t>
      </w:r>
      <w:r>
        <w:rPr>
          <w:rFonts w:hint="eastAsia" w:ascii="仿宋_GB2312" w:hAnsi="仿宋"/>
          <w:szCs w:val="32"/>
        </w:rPr>
        <w:t>批次（其中外事接待</w:t>
      </w:r>
      <w:r>
        <w:rPr>
          <w:rFonts w:hint="eastAsia" w:ascii="仿宋_GB2312" w:hAnsi="仿宋"/>
          <w:szCs w:val="32"/>
          <w:lang w:val="en-US" w:eastAsia="zh-CN"/>
        </w:rPr>
        <w:t>0</w:t>
      </w:r>
      <w:r>
        <w:rPr>
          <w:rFonts w:hint="eastAsia" w:ascii="仿宋_GB2312" w:hAnsi="仿宋"/>
          <w:szCs w:val="32"/>
        </w:rPr>
        <w:t>批次），2</w:t>
      </w:r>
      <w:r>
        <w:rPr>
          <w:rFonts w:hint="eastAsia" w:ascii="仿宋_GB2312" w:hAnsi="仿宋"/>
          <w:szCs w:val="32"/>
          <w:lang w:val="en-US" w:eastAsia="zh-CN"/>
        </w:rPr>
        <w:t>121</w:t>
      </w:r>
      <w:r>
        <w:rPr>
          <w:rFonts w:hint="eastAsia" w:ascii="仿宋_GB2312" w:hAnsi="仿宋"/>
          <w:szCs w:val="32"/>
        </w:rPr>
        <w:t>人次（其中外事接待</w:t>
      </w:r>
      <w:r>
        <w:rPr>
          <w:rFonts w:hint="eastAsia" w:ascii="仿宋_GB2312" w:hAnsi="仿宋"/>
          <w:szCs w:val="32"/>
          <w:lang w:val="en-US" w:eastAsia="zh-CN"/>
        </w:rPr>
        <w:t>0</w:t>
      </w:r>
      <w:r>
        <w:rPr>
          <w:rFonts w:hint="eastAsia" w:ascii="仿宋_GB2312" w:hAnsi="仿宋"/>
          <w:szCs w:val="32"/>
        </w:rPr>
        <w:t>人次）。主要是用于招商引资。经费使用贯彻中央八项规定，严格执行《党政机关厉行节约反对浪费条例》、</w:t>
      </w:r>
      <w:r>
        <w:rPr>
          <w:rFonts w:hint="eastAsia" w:ascii="仿宋_GB2312" w:hAnsi="仿宋"/>
          <w:szCs w:val="32"/>
          <w:lang w:eastAsia="zh-CN"/>
        </w:rPr>
        <w:t>杜集区</w:t>
      </w:r>
      <w:r>
        <w:rPr>
          <w:rFonts w:hint="eastAsia" w:ascii="仿宋_GB2312" w:hAnsi="仿宋"/>
          <w:szCs w:val="32"/>
        </w:rPr>
        <w:t>公务接待相关规定等。</w:t>
      </w:r>
    </w:p>
    <w:p>
      <w:pPr>
        <w:ind w:firstLine="643" w:firstLineChars="200"/>
        <w:rPr>
          <w:rFonts w:ascii="仿宋_GB2312" w:hAnsi="仿宋"/>
          <w:szCs w:val="32"/>
        </w:rPr>
      </w:pPr>
      <w:r>
        <w:rPr>
          <w:rFonts w:hint="eastAsia" w:ascii="仿宋_GB2312" w:hAnsi="仿宋"/>
          <w:b/>
          <w:bCs/>
          <w:szCs w:val="32"/>
        </w:rPr>
        <w:t>3.公务用车购置及运行维护费支出</w:t>
      </w:r>
      <w:r>
        <w:rPr>
          <w:rFonts w:hint="eastAsia" w:ascii="仿宋_GB2312" w:hAnsi="仿宋" w:cs="Times New Roman"/>
          <w:szCs w:val="32"/>
          <w:lang w:eastAsia="zh-CN"/>
        </w:rPr>
        <w:t>预算为25.99万元，支出决算为</w:t>
      </w:r>
      <w:r>
        <w:rPr>
          <w:rFonts w:hint="eastAsia" w:ascii="仿宋_GB2312" w:hAnsi="仿宋" w:cs="Times New Roman"/>
          <w:szCs w:val="32"/>
          <w:lang w:val="en-US" w:eastAsia="zh-CN"/>
        </w:rPr>
        <w:t>22.08万元</w:t>
      </w:r>
      <w:r>
        <w:rPr>
          <w:rFonts w:hint="eastAsia" w:ascii="仿宋_GB2312" w:hAnsi="仿宋" w:cs="Times New Roman"/>
          <w:szCs w:val="32"/>
          <w:lang w:eastAsia="zh-CN"/>
        </w:rPr>
        <w:t>，完成预算的</w:t>
      </w:r>
      <w:r>
        <w:rPr>
          <w:rFonts w:hint="eastAsia" w:ascii="仿宋_GB2312" w:hAnsi="仿宋" w:cs="Times New Roman"/>
          <w:szCs w:val="32"/>
          <w:lang w:val="en-US" w:eastAsia="zh-CN"/>
        </w:rPr>
        <w:t>84.96</w:t>
      </w:r>
      <w:r>
        <w:rPr>
          <w:rFonts w:hint="eastAsia" w:ascii="仿宋_GB2312" w:hAnsi="仿宋" w:cs="Times New Roman"/>
          <w:szCs w:val="32"/>
          <w:lang w:eastAsia="zh-CN"/>
        </w:rPr>
        <w:t>%；较上年</w:t>
      </w:r>
      <w:r>
        <w:rPr>
          <w:rFonts w:hint="eastAsia" w:ascii="仿宋_GB2312" w:hAnsi="仿宋" w:cs="Times New Roman"/>
          <w:szCs w:val="32"/>
          <w:lang w:val="en-US" w:eastAsia="zh-CN"/>
        </w:rPr>
        <w:t>增加0.72</w:t>
      </w:r>
      <w:r>
        <w:rPr>
          <w:rFonts w:hint="eastAsia" w:ascii="仿宋_GB2312" w:hAnsi="仿宋" w:cs="Times New Roman"/>
          <w:szCs w:val="32"/>
        </w:rPr>
        <w:t>万元</w:t>
      </w:r>
      <w:r>
        <w:rPr>
          <w:rFonts w:hint="eastAsia" w:ascii="仿宋_GB2312" w:hAnsi="仿宋" w:cs="Times New Roman"/>
          <w:szCs w:val="32"/>
          <w:lang w:eastAsia="zh-CN"/>
        </w:rPr>
        <w:t>，</w:t>
      </w:r>
      <w:r>
        <w:rPr>
          <w:rFonts w:hint="eastAsia" w:ascii="仿宋_GB2312" w:hAnsi="仿宋" w:cs="Times New Roman"/>
          <w:szCs w:val="32"/>
          <w:lang w:val="en-US" w:eastAsia="zh-CN"/>
        </w:rPr>
        <w:t>基本持平。</w:t>
      </w:r>
      <w:r>
        <w:rPr>
          <w:rFonts w:hint="eastAsia" w:ascii="仿宋_GB2312" w:hAnsi="仿宋" w:cs="Times New Roman"/>
          <w:szCs w:val="32"/>
        </w:rPr>
        <w:t>决算数</w:t>
      </w:r>
      <w:r>
        <w:rPr>
          <w:rFonts w:hint="eastAsia" w:ascii="仿宋_GB2312" w:hAnsi="仿宋" w:cs="Times New Roman"/>
          <w:szCs w:val="32"/>
          <w:lang w:eastAsia="zh-CN"/>
        </w:rPr>
        <w:t>小</w:t>
      </w:r>
      <w:r>
        <w:rPr>
          <w:rFonts w:hint="eastAsia" w:ascii="仿宋_GB2312" w:hAnsi="仿宋" w:cs="Times New Roman"/>
          <w:szCs w:val="32"/>
        </w:rPr>
        <w:t>于预算数的主要原因是压缩开支。决算数</w:t>
      </w:r>
      <w:r>
        <w:rPr>
          <w:rFonts w:hint="eastAsia" w:ascii="仿宋_GB2312" w:hAnsi="仿宋" w:cs="Times New Roman"/>
          <w:szCs w:val="32"/>
          <w:lang w:eastAsia="zh-CN"/>
        </w:rPr>
        <w:t>较上年增加</w:t>
      </w:r>
      <w:r>
        <w:rPr>
          <w:rFonts w:hint="eastAsia" w:ascii="仿宋_GB2312" w:hAnsi="仿宋" w:cs="Times New Roman"/>
          <w:szCs w:val="32"/>
        </w:rPr>
        <w:t>的主要原因是</w:t>
      </w:r>
      <w:r>
        <w:rPr>
          <w:rFonts w:hint="eastAsia" w:ascii="仿宋_GB2312" w:hAnsi="仿宋" w:cs="Times New Roman"/>
          <w:szCs w:val="32"/>
          <w:lang w:val="en-US" w:eastAsia="zh-CN"/>
        </w:rPr>
        <w:t>年底公车运行支出略增加</w:t>
      </w:r>
      <w:r>
        <w:rPr>
          <w:rFonts w:hint="eastAsia" w:ascii="仿宋_GB2312" w:hAnsi="仿宋" w:cs="Times New Roman"/>
          <w:szCs w:val="32"/>
        </w:rPr>
        <w:t>。2023年没有安排公务用车购置费</w:t>
      </w:r>
      <w:r>
        <w:rPr>
          <w:rFonts w:hint="eastAsia" w:ascii="楷体_GB2312" w:hAnsi="仿宋" w:eastAsia="楷体_GB2312"/>
          <w:color w:val="FF0000"/>
          <w:szCs w:val="32"/>
        </w:rPr>
        <w:t>。</w:t>
      </w:r>
      <w:r>
        <w:rPr>
          <w:rFonts w:hint="eastAsia" w:ascii="仿宋_GB2312" w:hAnsi="仿宋"/>
          <w:szCs w:val="32"/>
        </w:rPr>
        <w:t>公务用车运行维护费</w:t>
      </w:r>
      <w:r>
        <w:rPr>
          <w:rFonts w:hint="eastAsia" w:ascii="仿宋_GB2312" w:hAnsi="仿宋"/>
          <w:color w:val="auto"/>
          <w:szCs w:val="32"/>
          <w:lang w:eastAsia="zh-CN"/>
        </w:rPr>
        <w:t>预算为25.99万元，支出决算为</w:t>
      </w:r>
      <w:r>
        <w:rPr>
          <w:rFonts w:hint="eastAsia" w:ascii="仿宋_GB2312" w:hAnsi="仿宋"/>
          <w:color w:val="auto"/>
          <w:szCs w:val="32"/>
          <w:lang w:val="en-US" w:eastAsia="zh-CN"/>
        </w:rPr>
        <w:t>22.08万元</w:t>
      </w:r>
      <w:r>
        <w:rPr>
          <w:rFonts w:hint="eastAsia" w:ascii="仿宋_GB2312" w:hAnsi="仿宋"/>
          <w:color w:val="auto"/>
          <w:szCs w:val="32"/>
          <w:lang w:eastAsia="zh-CN"/>
        </w:rPr>
        <w:t>，完成预算的84.96%；</w:t>
      </w:r>
      <w:r>
        <w:rPr>
          <w:rFonts w:hint="eastAsia" w:ascii="仿宋_GB2312" w:hAnsi="仿宋"/>
          <w:color w:val="auto"/>
          <w:szCs w:val="32"/>
          <w:u w:val="none"/>
          <w:lang w:eastAsia="zh-CN"/>
        </w:rPr>
        <w:t>较上年增加0.72万元，基本持平</w:t>
      </w:r>
      <w:r>
        <w:rPr>
          <w:rFonts w:hint="eastAsia" w:ascii="仿宋_GB2312" w:hAnsi="仿宋"/>
          <w:color w:val="auto"/>
          <w:szCs w:val="32"/>
          <w:u w:val="none"/>
          <w:lang w:val="en-US" w:eastAsia="zh-CN"/>
        </w:rPr>
        <w:t>。</w:t>
      </w:r>
      <w:r>
        <w:rPr>
          <w:rFonts w:hint="eastAsia" w:ascii="仿宋_GB2312" w:hAnsi="仿宋"/>
          <w:color w:val="auto"/>
          <w:szCs w:val="32"/>
          <w:u w:val="none"/>
        </w:rPr>
        <w:t>决算数</w:t>
      </w:r>
      <w:r>
        <w:rPr>
          <w:rFonts w:hint="eastAsia" w:ascii="仿宋_GB2312" w:hAnsi="仿宋"/>
          <w:color w:val="auto"/>
          <w:szCs w:val="32"/>
          <w:u w:val="none"/>
          <w:lang w:eastAsia="zh-CN"/>
        </w:rPr>
        <w:t>小于预算数的主要原因是压缩开支</w:t>
      </w:r>
      <w:r>
        <w:rPr>
          <w:rFonts w:hint="eastAsia" w:ascii="仿宋_GB2312" w:hAnsi="仿宋"/>
          <w:color w:val="auto"/>
          <w:szCs w:val="32"/>
          <w:u w:val="none"/>
        </w:rPr>
        <w:t>。决算数</w:t>
      </w:r>
      <w:r>
        <w:rPr>
          <w:rFonts w:hint="eastAsia" w:ascii="仿宋_GB2312" w:hAnsi="仿宋"/>
          <w:color w:val="auto"/>
          <w:szCs w:val="32"/>
          <w:u w:val="none"/>
          <w:lang w:eastAsia="zh-CN"/>
        </w:rPr>
        <w:t>较上年增加</w:t>
      </w:r>
      <w:r>
        <w:rPr>
          <w:rFonts w:hint="eastAsia" w:ascii="仿宋_GB2312" w:hAnsi="仿宋"/>
          <w:color w:val="auto"/>
          <w:szCs w:val="32"/>
          <w:u w:val="none"/>
        </w:rPr>
        <w:t>的主要原因是年底公车运行支出略增加。</w:t>
      </w:r>
      <w:r>
        <w:rPr>
          <w:rFonts w:hint="eastAsia" w:ascii="仿宋_GB2312" w:hAnsi="仿宋"/>
          <w:color w:val="auto"/>
          <w:szCs w:val="32"/>
        </w:rPr>
        <w:t>公</w:t>
      </w:r>
      <w:r>
        <w:rPr>
          <w:rFonts w:hint="eastAsia" w:ascii="仿宋_GB2312" w:hAnsi="仿宋"/>
          <w:szCs w:val="32"/>
        </w:rPr>
        <w:t>务用车运行维护费，包括车辆燃料费、维修费、过路过桥费、保险费等支出，主要用于日常公务、监督检查、政策调研</w:t>
      </w:r>
      <w:r>
        <w:rPr>
          <w:rFonts w:hint="eastAsia" w:ascii="仿宋_GB2312" w:hAnsi="仿宋"/>
          <w:szCs w:val="32"/>
          <w:lang w:val="en-US" w:eastAsia="zh-CN"/>
        </w:rPr>
        <w:t>等</w:t>
      </w:r>
      <w:r>
        <w:rPr>
          <w:rFonts w:hint="eastAsia" w:ascii="仿宋_GB2312" w:hAnsi="仿宋"/>
          <w:color w:val="FF0000"/>
          <w:szCs w:val="32"/>
        </w:rPr>
        <w:t>。</w:t>
      </w:r>
      <w:r>
        <w:rPr>
          <w:rFonts w:hint="eastAsia" w:ascii="仿宋_GB2312" w:hAnsi="仿宋"/>
          <w:szCs w:val="32"/>
        </w:rPr>
        <w:t>截至</w:t>
      </w:r>
      <w:r>
        <w:rPr>
          <w:rFonts w:hint="eastAsia" w:ascii="仿宋_GB2312" w:hAnsi="仿宋"/>
          <w:szCs w:val="32"/>
          <w:lang w:eastAsia="zh-CN"/>
        </w:rPr>
        <w:t>2023</w:t>
      </w:r>
      <w:r>
        <w:rPr>
          <w:rFonts w:hint="eastAsia" w:ascii="仿宋_GB2312" w:hAnsi="仿宋"/>
          <w:szCs w:val="32"/>
        </w:rPr>
        <w:t>年12月31日，</w:t>
      </w:r>
      <w:r>
        <w:rPr>
          <w:rFonts w:hint="eastAsia" w:ascii="仿宋_GB2312" w:hAnsi="仿宋"/>
          <w:szCs w:val="32"/>
          <w:lang w:eastAsia="zh-CN"/>
        </w:rPr>
        <w:t>杜集区高岳街道办事处</w:t>
      </w:r>
      <w:r>
        <w:rPr>
          <w:rFonts w:hint="eastAsia" w:ascii="仿宋_GB2312" w:hAnsi="仿宋"/>
          <w:szCs w:val="32"/>
        </w:rPr>
        <w:t>开支财政拨款的公务用车保有量为</w:t>
      </w:r>
      <w:r>
        <w:rPr>
          <w:rFonts w:hint="eastAsia" w:ascii="仿宋_GB2312" w:hAnsi="仿宋"/>
          <w:szCs w:val="32"/>
          <w:lang w:val="en-US" w:eastAsia="zh-CN"/>
        </w:rPr>
        <w:t>4</w:t>
      </w:r>
      <w:r>
        <w:rPr>
          <w:rFonts w:hint="eastAsia" w:ascii="仿宋_GB2312" w:hAnsi="仿宋"/>
          <w:szCs w:val="32"/>
        </w:rPr>
        <w:t>辆。</w:t>
      </w:r>
      <w:bookmarkStart w:id="0" w:name="_GoBack"/>
      <w:bookmarkEnd w:id="0"/>
    </w:p>
    <w:p/>
    <w:sectPr>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gxMjg1ZDU3OTYyMTFkNjM4NTAwZGEyMTk5NTVlNmUifQ=="/>
  </w:docVars>
  <w:rsids>
    <w:rsidRoot w:val="00D303BC"/>
    <w:rsid w:val="002F6DE8"/>
    <w:rsid w:val="00326726"/>
    <w:rsid w:val="003547B8"/>
    <w:rsid w:val="003671B4"/>
    <w:rsid w:val="003B6E2C"/>
    <w:rsid w:val="00497C22"/>
    <w:rsid w:val="004D6484"/>
    <w:rsid w:val="00613D73"/>
    <w:rsid w:val="00656EC6"/>
    <w:rsid w:val="006B3BF0"/>
    <w:rsid w:val="007719A9"/>
    <w:rsid w:val="008A3C6F"/>
    <w:rsid w:val="009770F9"/>
    <w:rsid w:val="009D2B9A"/>
    <w:rsid w:val="00A00C09"/>
    <w:rsid w:val="00A92496"/>
    <w:rsid w:val="00AB0278"/>
    <w:rsid w:val="00B14CD1"/>
    <w:rsid w:val="00B2159B"/>
    <w:rsid w:val="00B72524"/>
    <w:rsid w:val="00CE25D9"/>
    <w:rsid w:val="00D2629D"/>
    <w:rsid w:val="00D303BC"/>
    <w:rsid w:val="00D9784E"/>
    <w:rsid w:val="00DB321D"/>
    <w:rsid w:val="00E02B6D"/>
    <w:rsid w:val="00FC29F2"/>
    <w:rsid w:val="07D04D14"/>
    <w:rsid w:val="0CE6070D"/>
    <w:rsid w:val="0F6239E3"/>
    <w:rsid w:val="129A0412"/>
    <w:rsid w:val="18242EF9"/>
    <w:rsid w:val="4D2D318C"/>
    <w:rsid w:val="582946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仿宋_GB2312" w:cs="Times New Roman"/>
      <w:kern w:val="2"/>
      <w:sz w:val="32"/>
      <w:szCs w:val="20"/>
      <w:lang w:val="en-US" w:eastAsia="zh-CN" w:bidi="ar-SA"/>
    </w:rPr>
  </w:style>
  <w:style w:type="character" w:default="1" w:styleId="6">
    <w:name w:val="Default Paragraph Font"/>
    <w:autoRedefine/>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jc w:val="center"/>
    </w:pPr>
    <w:rPr>
      <w:rFonts w:eastAsia="黑体"/>
      <w:sz w:val="36"/>
    </w:rPr>
  </w:style>
  <w:style w:type="paragraph" w:styleId="3">
    <w:name w:val="footer"/>
    <w:basedOn w:val="1"/>
    <w:link w:val="8"/>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Char"/>
    <w:basedOn w:val="6"/>
    <w:link w:val="4"/>
    <w:autoRedefine/>
    <w:semiHidden/>
    <w:qFormat/>
    <w:uiPriority w:val="99"/>
    <w:rPr>
      <w:sz w:val="18"/>
      <w:szCs w:val="18"/>
    </w:rPr>
  </w:style>
  <w:style w:type="character" w:customStyle="1" w:styleId="8">
    <w:name w:val="页脚 Char"/>
    <w:basedOn w:val="6"/>
    <w:link w:val="3"/>
    <w:autoRedefine/>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1291</Words>
  <Characters>1441</Characters>
  <Lines>8</Lines>
  <Paragraphs>2</Paragraphs>
  <TotalTime>77</TotalTime>
  <ScaleCrop>false</ScaleCrop>
  <LinksUpToDate>false</LinksUpToDate>
  <CharactersWithSpaces>1513</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2021-07-16T00:55:00Z</dcterms:created>
  <dc:creator>丁配泉</dc:creator>
  <cp:lastModifiedBy>James</cp:lastModifiedBy>
  <cp:lastPrinted>2020-09-14T08:17:00Z</cp:lastPrinted>
  <dcterms:modified xsi:type="dcterms:W3CDTF">2024-09-29T03:21:22Z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95B7D7A6868D44358BC8FEE951F652F5</vt:lpwstr>
  </property>
</Properties>
</file>