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B4F2D">
      <w:pPr>
        <w:rPr>
          <w:rFonts w:hint="eastAsia" w:ascii="仿宋" w:hAnsi="仿宋" w:eastAsia="仿宋" w:cs="仿宋"/>
          <w:sz w:val="28"/>
          <w:szCs w:val="28"/>
        </w:rPr>
      </w:pPr>
    </w:p>
    <w:p w14:paraId="4E84B9C7">
      <w:pPr>
        <w:rPr>
          <w:rFonts w:hint="eastAsia" w:ascii="仿宋" w:hAnsi="仿宋" w:eastAsia="仿宋" w:cs="仿宋"/>
          <w:sz w:val="28"/>
          <w:szCs w:val="28"/>
        </w:rPr>
      </w:pPr>
    </w:p>
    <w:p w14:paraId="3D267391">
      <w:pPr>
        <w:rPr>
          <w:rFonts w:hint="eastAsia" w:ascii="仿宋" w:hAnsi="仿宋" w:eastAsia="仿宋" w:cs="仿宋"/>
          <w:sz w:val="28"/>
          <w:szCs w:val="28"/>
        </w:rPr>
      </w:pPr>
    </w:p>
    <w:p w14:paraId="7A67F4E7">
      <w:pPr>
        <w:rPr>
          <w:rFonts w:hint="eastAsia" w:ascii="仿宋" w:hAnsi="仿宋" w:eastAsia="仿宋" w:cs="仿宋"/>
          <w:sz w:val="28"/>
          <w:szCs w:val="28"/>
        </w:rPr>
      </w:pPr>
    </w:p>
    <w:p w14:paraId="5E1F164F">
      <w:pPr>
        <w:rPr>
          <w:rFonts w:hint="eastAsia" w:ascii="仿宋" w:hAnsi="仿宋" w:eastAsia="仿宋" w:cs="仿宋"/>
          <w:sz w:val="28"/>
          <w:szCs w:val="28"/>
        </w:rPr>
      </w:pPr>
    </w:p>
    <w:p w14:paraId="6BB152AE">
      <w:pPr>
        <w:rPr>
          <w:rFonts w:hint="eastAsia" w:ascii="仿宋" w:hAnsi="仿宋" w:eastAsia="仿宋" w:cs="仿宋"/>
          <w:sz w:val="28"/>
          <w:szCs w:val="28"/>
        </w:rPr>
      </w:pPr>
    </w:p>
    <w:p w14:paraId="3ECF067E">
      <w:pPr>
        <w:rPr>
          <w:rFonts w:hint="eastAsia" w:ascii="仿宋" w:hAnsi="仿宋" w:eastAsia="仿宋" w:cs="仿宋"/>
          <w:sz w:val="28"/>
          <w:szCs w:val="28"/>
        </w:rPr>
      </w:pPr>
    </w:p>
    <w:p w14:paraId="33F67226">
      <w:pPr>
        <w:spacing w:line="560" w:lineRule="exact"/>
        <w:jc w:val="both"/>
        <w:rPr>
          <w:rFonts w:hint="eastAsia" w:ascii="仿宋" w:hAnsi="仿宋" w:eastAsia="仿宋" w:cs="仿宋"/>
          <w:b/>
          <w:sz w:val="52"/>
          <w:szCs w:val="52"/>
        </w:rPr>
      </w:pPr>
      <w:r>
        <w:rPr>
          <w:rFonts w:hint="eastAsia" w:ascii="仿宋" w:hAnsi="仿宋" w:eastAsia="仿宋" w:cs="仿宋"/>
          <w:b/>
          <w:sz w:val="52"/>
          <w:szCs w:val="52"/>
          <w:lang w:val="en-US" w:eastAsia="zh-CN"/>
        </w:rPr>
        <w:t>杜集区</w:t>
      </w:r>
      <w:r>
        <w:rPr>
          <w:rFonts w:hint="eastAsia" w:ascii="仿宋" w:hAnsi="仿宋" w:eastAsia="仿宋" w:cs="仿宋"/>
          <w:b/>
          <w:sz w:val="52"/>
          <w:szCs w:val="52"/>
          <w:lang w:eastAsia="zh-CN"/>
        </w:rPr>
        <w:t>朔里镇人民政府</w:t>
      </w:r>
      <w:r>
        <w:rPr>
          <w:rFonts w:hint="eastAsia" w:ascii="仿宋" w:hAnsi="仿宋" w:eastAsia="仿宋" w:cs="仿宋"/>
          <w:b/>
          <w:sz w:val="52"/>
          <w:szCs w:val="52"/>
        </w:rPr>
        <w:t>202</w:t>
      </w:r>
      <w:r>
        <w:rPr>
          <w:rFonts w:hint="eastAsia" w:ascii="仿宋" w:hAnsi="仿宋" w:eastAsia="仿宋" w:cs="仿宋"/>
          <w:b/>
          <w:sz w:val="52"/>
          <w:szCs w:val="52"/>
          <w:lang w:val="en-US" w:eastAsia="zh-CN"/>
        </w:rPr>
        <w:t>5</w:t>
      </w:r>
      <w:r>
        <w:rPr>
          <w:rFonts w:hint="eastAsia" w:ascii="仿宋" w:hAnsi="仿宋" w:eastAsia="仿宋" w:cs="仿宋"/>
          <w:b/>
          <w:sz w:val="52"/>
          <w:szCs w:val="52"/>
        </w:rPr>
        <w:t>年</w:t>
      </w:r>
      <w:r>
        <w:rPr>
          <w:rFonts w:hint="eastAsia" w:ascii="仿宋" w:hAnsi="仿宋" w:eastAsia="仿宋" w:cs="仿宋"/>
          <w:b/>
          <w:sz w:val="52"/>
          <w:szCs w:val="52"/>
          <w:lang w:eastAsia="zh-CN"/>
        </w:rPr>
        <w:t>单位</w:t>
      </w:r>
      <w:r>
        <w:rPr>
          <w:rFonts w:hint="eastAsia" w:ascii="仿宋" w:hAnsi="仿宋" w:eastAsia="仿宋" w:cs="仿宋"/>
          <w:b/>
          <w:sz w:val="52"/>
          <w:szCs w:val="52"/>
        </w:rPr>
        <w:t>预算</w:t>
      </w:r>
    </w:p>
    <w:p w14:paraId="692597B4">
      <w:pPr>
        <w:rPr>
          <w:rFonts w:hint="eastAsia" w:ascii="仿宋" w:hAnsi="仿宋" w:eastAsia="仿宋" w:cs="仿宋"/>
          <w:sz w:val="28"/>
          <w:szCs w:val="28"/>
        </w:rPr>
      </w:pPr>
    </w:p>
    <w:p w14:paraId="551EF2E2">
      <w:pPr>
        <w:rPr>
          <w:rFonts w:hint="eastAsia" w:ascii="仿宋" w:hAnsi="仿宋" w:eastAsia="仿宋" w:cs="仿宋"/>
          <w:sz w:val="28"/>
          <w:szCs w:val="28"/>
        </w:rPr>
      </w:pPr>
    </w:p>
    <w:p w14:paraId="70BF7A57">
      <w:pPr>
        <w:rPr>
          <w:rFonts w:hint="eastAsia" w:ascii="仿宋" w:hAnsi="仿宋" w:eastAsia="仿宋" w:cs="仿宋"/>
          <w:sz w:val="28"/>
          <w:szCs w:val="28"/>
        </w:rPr>
      </w:pPr>
    </w:p>
    <w:p w14:paraId="5F4D0E04">
      <w:pPr>
        <w:rPr>
          <w:rFonts w:hint="eastAsia" w:ascii="仿宋" w:hAnsi="仿宋" w:eastAsia="仿宋" w:cs="仿宋"/>
          <w:sz w:val="28"/>
          <w:szCs w:val="28"/>
        </w:rPr>
      </w:pPr>
    </w:p>
    <w:p w14:paraId="2526E2B8">
      <w:pPr>
        <w:rPr>
          <w:rFonts w:hint="eastAsia" w:ascii="仿宋" w:hAnsi="仿宋" w:eastAsia="仿宋" w:cs="仿宋"/>
          <w:sz w:val="28"/>
          <w:szCs w:val="28"/>
        </w:rPr>
      </w:pPr>
    </w:p>
    <w:p w14:paraId="40B21F87">
      <w:pPr>
        <w:rPr>
          <w:rFonts w:hint="eastAsia" w:ascii="仿宋" w:hAnsi="仿宋" w:eastAsia="仿宋" w:cs="仿宋"/>
          <w:sz w:val="28"/>
          <w:szCs w:val="28"/>
        </w:rPr>
      </w:pPr>
    </w:p>
    <w:p w14:paraId="5569017E">
      <w:pPr>
        <w:pStyle w:val="4"/>
        <w:adjustRightInd w:val="0"/>
        <w:snapToGrid w:val="0"/>
        <w:spacing w:line="560" w:lineRule="exact"/>
        <w:jc w:val="both"/>
        <w:rPr>
          <w:rFonts w:hint="eastAsia" w:ascii="仿宋" w:hAnsi="仿宋" w:eastAsia="仿宋" w:cs="仿宋"/>
          <w:b/>
          <w:bCs w:val="0"/>
          <w:sz w:val="28"/>
          <w:szCs w:val="28"/>
        </w:rPr>
      </w:pPr>
    </w:p>
    <w:p w14:paraId="1F902ECD">
      <w:pPr>
        <w:pStyle w:val="4"/>
        <w:adjustRightInd w:val="0"/>
        <w:snapToGrid w:val="0"/>
        <w:spacing w:line="560" w:lineRule="exact"/>
        <w:ind w:firstLine="5341" w:firstLineChars="1900"/>
        <w:jc w:val="both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202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月</w:t>
      </w:r>
    </w:p>
    <w:p w14:paraId="648EEC44">
      <w:pPr>
        <w:rPr>
          <w:rFonts w:hint="eastAsia" w:ascii="仿宋" w:hAnsi="仿宋" w:eastAsia="仿宋" w:cs="仿宋"/>
          <w:sz w:val="28"/>
          <w:szCs w:val="28"/>
        </w:rPr>
      </w:pPr>
    </w:p>
    <w:p w14:paraId="6D74DC09">
      <w:pPr>
        <w:rPr>
          <w:rFonts w:hint="eastAsia" w:ascii="仿宋" w:hAnsi="仿宋" w:eastAsia="仿宋" w:cs="仿宋"/>
          <w:sz w:val="28"/>
          <w:szCs w:val="28"/>
        </w:rPr>
      </w:pPr>
    </w:p>
    <w:p w14:paraId="0F83F9AE">
      <w:pPr>
        <w:rPr>
          <w:rFonts w:hint="eastAsia" w:ascii="仿宋" w:hAnsi="仿宋" w:eastAsia="仿宋" w:cs="仿宋"/>
          <w:sz w:val="28"/>
          <w:szCs w:val="28"/>
        </w:rPr>
      </w:pPr>
    </w:p>
    <w:p w14:paraId="46C7D0F7">
      <w:pPr>
        <w:pStyle w:val="4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Cs/>
          <w:sz w:val="28"/>
          <w:szCs w:val="28"/>
        </w:rPr>
      </w:pPr>
    </w:p>
    <w:p w14:paraId="397A8A7F">
      <w:pPr>
        <w:pStyle w:val="4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Cs/>
          <w:sz w:val="28"/>
          <w:szCs w:val="28"/>
        </w:rPr>
      </w:pPr>
    </w:p>
    <w:p w14:paraId="24EA48B2">
      <w:pPr>
        <w:pStyle w:val="4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目  录</w:t>
      </w:r>
    </w:p>
    <w:p w14:paraId="63C96DAD">
      <w:pPr>
        <w:rPr>
          <w:rFonts w:hint="eastAsia" w:ascii="仿宋" w:hAnsi="仿宋" w:eastAsia="仿宋" w:cs="仿宋"/>
          <w:sz w:val="28"/>
          <w:szCs w:val="28"/>
        </w:rPr>
      </w:pPr>
    </w:p>
    <w:p w14:paraId="2A109572">
      <w:pPr>
        <w:pStyle w:val="4"/>
        <w:adjustRightInd w:val="0"/>
        <w:snapToGrid w:val="0"/>
        <w:spacing w:line="40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第一部分 部门（单位）概况</w:t>
      </w:r>
    </w:p>
    <w:p w14:paraId="3BC6F231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1、主要职责</w:t>
      </w:r>
    </w:p>
    <w:p w14:paraId="727BF421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2、部门（单位）预算构成</w:t>
      </w:r>
    </w:p>
    <w:p w14:paraId="48939B9C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 、202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28"/>
          <w:szCs w:val="28"/>
        </w:rPr>
        <w:t>年度主要工作任务</w:t>
      </w:r>
    </w:p>
    <w:p w14:paraId="261B9D30">
      <w:pPr>
        <w:pStyle w:val="4"/>
        <w:adjustRightInd w:val="0"/>
        <w:snapToGrid w:val="0"/>
        <w:spacing w:line="40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第二部分 202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sz w:val="28"/>
          <w:szCs w:val="28"/>
        </w:rPr>
        <w:t>年部门（单位）预算表</w:t>
      </w:r>
    </w:p>
    <w:p w14:paraId="0E11D61B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杜集区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收支总表</w:t>
      </w:r>
    </w:p>
    <w:p w14:paraId="35D3807C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杜集区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收入总表</w:t>
      </w:r>
    </w:p>
    <w:p w14:paraId="0E32563D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杜集区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支出总表</w:t>
      </w:r>
    </w:p>
    <w:p w14:paraId="49822CDA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4、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杜集区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财政拨款收支总表</w:t>
      </w:r>
    </w:p>
    <w:p w14:paraId="2950CA42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5、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杜集区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一般公共预算支出表</w:t>
      </w:r>
    </w:p>
    <w:p w14:paraId="0700A1C9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6、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杜集区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一般公共预算基本支出表</w:t>
      </w:r>
    </w:p>
    <w:p w14:paraId="4ED9F198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7、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政府性基金预算支出表</w:t>
      </w:r>
    </w:p>
    <w:p w14:paraId="0113C9D3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8、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国有资本经营预算支出表</w:t>
      </w:r>
    </w:p>
    <w:p w14:paraId="1AEF5B13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9、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项目支出表</w:t>
      </w:r>
    </w:p>
    <w:p w14:paraId="5C96A5E3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10、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政府采购支出表</w:t>
      </w:r>
    </w:p>
    <w:p w14:paraId="68CC3209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11、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政府购买服务支出表</w:t>
      </w:r>
    </w:p>
    <w:p w14:paraId="7BE0D7B8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12、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通用资产配置支出表</w:t>
      </w:r>
    </w:p>
    <w:p w14:paraId="51FB32A6">
      <w:pPr>
        <w:pStyle w:val="4"/>
        <w:adjustRightInd w:val="0"/>
        <w:snapToGrid w:val="0"/>
        <w:spacing w:line="40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第三部分 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/>
          <w:sz w:val="28"/>
          <w:szCs w:val="28"/>
        </w:rPr>
        <w:t>部门（单位）预算情况说明</w:t>
      </w:r>
    </w:p>
    <w:p w14:paraId="2E4C67DF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收支总表的说明</w:t>
      </w:r>
    </w:p>
    <w:p w14:paraId="0674602A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收入总表的说明</w:t>
      </w:r>
    </w:p>
    <w:p w14:paraId="0EA2ABC2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支出总表的说明</w:t>
      </w:r>
    </w:p>
    <w:p w14:paraId="7308CB4C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4、关于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财政拨款收支总表的说明</w:t>
      </w:r>
    </w:p>
    <w:p w14:paraId="673A5965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5、关于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一般公共预算支出表的说明</w:t>
      </w:r>
    </w:p>
    <w:p w14:paraId="15D7C434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6、关于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一般公共预算基本支出表的说明</w:t>
      </w:r>
    </w:p>
    <w:p w14:paraId="609FAFBC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7、关于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政府性基金预算支出表的说明</w:t>
      </w:r>
    </w:p>
    <w:p w14:paraId="7CA5FD74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8、关于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国有资本经营预算支出表的说明</w:t>
      </w:r>
    </w:p>
    <w:p w14:paraId="09EEFC25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9、关于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项目支出表的说明</w:t>
      </w:r>
    </w:p>
    <w:p w14:paraId="5F64BB8B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10、关于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政府采购支出表的说明</w:t>
      </w:r>
    </w:p>
    <w:p w14:paraId="5A313331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11、关于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政府购买服务支出表的说明</w:t>
      </w:r>
    </w:p>
    <w:p w14:paraId="13873CF5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12、其他重要事项情况说明</w:t>
      </w:r>
    </w:p>
    <w:p w14:paraId="366DC526">
      <w:pPr>
        <w:pStyle w:val="4"/>
        <w:adjustRightInd w:val="0"/>
        <w:snapToGrid w:val="0"/>
        <w:spacing w:line="40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第四部分 名词解释</w:t>
      </w:r>
    </w:p>
    <w:p w14:paraId="0B7A57FE">
      <w:pPr>
        <w:pStyle w:val="4"/>
        <w:adjustRightInd w:val="0"/>
        <w:snapToGrid w:val="0"/>
        <w:spacing w:line="40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第五部分 其它公开事项</w:t>
      </w:r>
    </w:p>
    <w:p w14:paraId="75CED619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部门预算纳入绩效考评项目表</w:t>
      </w:r>
    </w:p>
    <w:p w14:paraId="09EF3A55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bCs/>
          <w:sz w:val="28"/>
          <w:szCs w:val="28"/>
        </w:rPr>
        <w:t>部门预算专项资金管理清单（专栏公开）</w:t>
      </w:r>
    </w:p>
    <w:p w14:paraId="0FE24111">
      <w:pPr>
        <w:pStyle w:val="4"/>
        <w:adjustRightInd w:val="0"/>
        <w:snapToGrid w:val="0"/>
        <w:spacing w:line="400" w:lineRule="exact"/>
        <w:ind w:firstLine="700" w:firstLineChars="250"/>
        <w:rPr>
          <w:rFonts w:hint="eastAsia" w:ascii="仿宋" w:hAnsi="仿宋" w:eastAsia="仿宋" w:cs="仿宋"/>
          <w:bCs/>
          <w:sz w:val="28"/>
          <w:szCs w:val="28"/>
        </w:rPr>
      </w:pPr>
    </w:p>
    <w:p w14:paraId="490A05CC">
      <w:pPr>
        <w:pStyle w:val="4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第一部分 单位概况</w:t>
      </w:r>
    </w:p>
    <w:p w14:paraId="70F45E13">
      <w:pPr>
        <w:rPr>
          <w:rFonts w:hint="eastAsia" w:ascii="仿宋" w:hAnsi="仿宋" w:eastAsia="仿宋" w:cs="仿宋"/>
          <w:sz w:val="28"/>
          <w:szCs w:val="28"/>
        </w:rPr>
      </w:pPr>
    </w:p>
    <w:p w14:paraId="7F95B6A9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一、主要职责</w:t>
      </w:r>
    </w:p>
    <w:p w14:paraId="7476BA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（一）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执行上级行政机关的决定、法律、法规，接受同级党委的领导，执行本级人民代表大会的各项决议，并报告执行决议、决定和命令的情况。</w:t>
      </w:r>
    </w:p>
    <w:p w14:paraId="4A70BC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（二）制定并落实本行政区域的经济计划和措施，促进产业结构调整及其他经济保持平衡协调发展，全面提高人民群众的生活水平和生活质量。</w:t>
      </w:r>
    </w:p>
    <w:p w14:paraId="5D7292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（三）承担国有资产、集体资产管理、监督,保护公民私人所有合法财产，保障集体经济组织应有的自主权;监督企业和各种经济联合体、个体户认真执行国家的法律、法令和政策，履行经济合同。</w:t>
      </w:r>
    </w:p>
    <w:p w14:paraId="23F4CC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四）开展社会主义民主和法制的宣传教育，保障公民的权利;制定社会治安综合治理工作规划并组织实施;加强社区管理工作，依法管理外来流动人口，处理人民来信来访，调解民间纠纷，打击违法犯罪，维护社会稳定。</w:t>
      </w:r>
    </w:p>
    <w:p w14:paraId="68BD96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五）制定社会各项事业发展计划，发展教育、卫生、科技、民政、广播电视、文化、体育事业;组织实施义务教育和其他各类教育;加强计划生育工作;推进社会保障、社会福利事业和养老保险工作;做好劳动管理、科普、老龄及宗教、侨务等工作。</w:t>
      </w:r>
    </w:p>
    <w:p w14:paraId="7DD175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（六）加强镇级财政的监督和管理，按计划组织、管理镇财政收入和支出，执行国家有关财经纪律和政策，保证国家财政收入的完成;做好统计工作。</w:t>
      </w:r>
    </w:p>
    <w:p w14:paraId="2B8897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（七）指导、支持、帮助村(居)民委员会的组织制度建设和业务建设，促进村(居)民委员会民主自治。</w:t>
      </w:r>
    </w:p>
    <w:p w14:paraId="5408ED82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（八）制定和组织实施镇村建设规划;加强公用、市政设施、水利建设和管理以及房屋土地管理和环境综合整治工作，保护和改善生活环境和生态环境。</w:t>
      </w:r>
      <w:r>
        <w:rPr>
          <w:rFonts w:hint="eastAsia" w:ascii="仿宋" w:hAnsi="仿宋" w:eastAsia="仿宋" w:cs="仿宋"/>
          <w:bCs/>
          <w:sz w:val="28"/>
          <w:szCs w:val="28"/>
        </w:rPr>
        <w:t>二、单位预算构成</w:t>
      </w:r>
    </w:p>
    <w:p w14:paraId="37B0293F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从预算单位构成看，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杜集区朔里镇人民政府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sz w:val="28"/>
          <w:szCs w:val="28"/>
        </w:rPr>
        <w:t>度部门预算仅包括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sz w:val="28"/>
          <w:szCs w:val="28"/>
        </w:rPr>
        <w:t>本级预算，无其他下属单位预算。</w:t>
      </w:r>
    </w:p>
    <w:p w14:paraId="34B16953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三、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度主要工作任务</w:t>
      </w:r>
    </w:p>
    <w:p w14:paraId="6C4F003B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（一）……。</w:t>
      </w:r>
    </w:p>
    <w:p w14:paraId="32E94FB4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（二）……。</w:t>
      </w:r>
    </w:p>
    <w:p w14:paraId="71D58031">
      <w:pPr>
        <w:rPr>
          <w:rFonts w:hint="eastAsia" w:ascii="仿宋" w:hAnsi="仿宋" w:eastAsia="仿宋" w:cs="仿宋"/>
          <w:sz w:val="28"/>
          <w:szCs w:val="28"/>
        </w:rPr>
      </w:pPr>
    </w:p>
    <w:p w14:paraId="2958DF41">
      <w:pPr>
        <w:pStyle w:val="4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第二部分 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部门（单位）预算表</w:t>
      </w:r>
    </w:p>
    <w:p w14:paraId="5FD86BC6">
      <w:pPr>
        <w:pStyle w:val="4"/>
        <w:adjustRightInd w:val="0"/>
        <w:snapToGrid w:val="0"/>
        <w:spacing w:line="560" w:lineRule="exact"/>
        <w:ind w:firstLine="548" w:firstLineChars="196"/>
        <w:jc w:val="center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见附件1-2</w:t>
      </w:r>
    </w:p>
    <w:p w14:paraId="2B2A4261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</w:t>
      </w:r>
    </w:p>
    <w:p w14:paraId="3CBDA5B6">
      <w:pPr>
        <w:pStyle w:val="4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第三部分 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部门（单位）预算情况说明</w:t>
      </w:r>
    </w:p>
    <w:p w14:paraId="1C9E42C2">
      <w:pPr>
        <w:rPr>
          <w:rFonts w:hint="eastAsia" w:ascii="仿宋" w:hAnsi="仿宋" w:eastAsia="仿宋" w:cs="仿宋"/>
          <w:sz w:val="28"/>
          <w:szCs w:val="28"/>
        </w:rPr>
      </w:pPr>
    </w:p>
    <w:p w14:paraId="19A0FF3D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一、关于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收支总表的说明</w:t>
      </w:r>
    </w:p>
    <w:p w14:paraId="2AB8782F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按照综合预算的原则，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杜集区朔里镇人民政府</w:t>
      </w:r>
      <w:r>
        <w:rPr>
          <w:rFonts w:hint="eastAsia" w:ascii="仿宋" w:hAnsi="仿宋" w:eastAsia="仿宋" w:cs="仿宋"/>
          <w:sz w:val="28"/>
          <w:szCs w:val="28"/>
        </w:rPr>
        <w:t>所有收入和支出均纳入单位预算管理。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sz w:val="28"/>
          <w:szCs w:val="28"/>
        </w:rPr>
        <w:t>收支总预算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sz w:val="28"/>
          <w:szCs w:val="28"/>
        </w:rPr>
        <w:t>万元，收入包括一般公共预算拨款收入，支出包括：社会保障和就业支出、卫生健康支出、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农林水支出、</w:t>
      </w:r>
      <w:r>
        <w:rPr>
          <w:rFonts w:hint="eastAsia" w:ascii="仿宋" w:hAnsi="仿宋" w:eastAsia="仿宋" w:cs="仿宋"/>
          <w:sz w:val="28"/>
          <w:szCs w:val="28"/>
        </w:rPr>
        <w:t>住房保障支出。</w:t>
      </w:r>
    </w:p>
    <w:p w14:paraId="1242D045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二、关于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收入总表的说明</w:t>
      </w:r>
    </w:p>
    <w:p w14:paraId="55E9CF3A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收入预算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万元，其中，本年收入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万元。</w:t>
      </w:r>
    </w:p>
    <w:p w14:paraId="30CE6FFB">
      <w:pPr>
        <w:ind w:firstLine="562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>本年收入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</w:rPr>
        <w:t>主要包括：一般公共预算拨款收入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100</w:t>
      </w:r>
      <w:r>
        <w:rPr>
          <w:rFonts w:hint="eastAsia" w:ascii="仿宋" w:hAnsi="仿宋" w:eastAsia="仿宋" w:cs="仿宋"/>
          <w:kern w:val="0"/>
          <w:sz w:val="28"/>
          <w:szCs w:val="28"/>
        </w:rPr>
        <w:t>%，比202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年预算增加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95.96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万元，增长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6.34</w:t>
      </w:r>
      <w:r>
        <w:rPr>
          <w:rFonts w:hint="eastAsia" w:ascii="仿宋" w:hAnsi="仿宋" w:eastAsia="仿宋" w:cs="仿宋"/>
          <w:kern w:val="0"/>
          <w:sz w:val="28"/>
          <w:szCs w:val="28"/>
        </w:rPr>
        <w:t>%，原因主要是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工资上涨、社保基数上调。</w:t>
      </w:r>
    </w:p>
    <w:p w14:paraId="2EF8A7A9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三、关于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支出总表的说明</w:t>
      </w:r>
    </w:p>
    <w:p w14:paraId="34924273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支出预算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年预算增加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95.96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万元，增长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6.34</w:t>
      </w:r>
      <w:r>
        <w:rPr>
          <w:rFonts w:hint="eastAsia" w:ascii="仿宋" w:hAnsi="仿宋" w:eastAsia="仿宋" w:cs="仿宋"/>
          <w:kern w:val="0"/>
          <w:sz w:val="28"/>
          <w:szCs w:val="28"/>
        </w:rPr>
        <w:t>%，原因主要是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工资上涨、社保基数上调。</w:t>
      </w:r>
      <w:r>
        <w:rPr>
          <w:rFonts w:hint="eastAsia" w:ascii="仿宋" w:hAnsi="仿宋" w:eastAsia="仿宋" w:cs="仿宋"/>
          <w:kern w:val="0"/>
          <w:sz w:val="28"/>
          <w:szCs w:val="28"/>
        </w:rPr>
        <w:t>其中，基本支出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1603.39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99.69</w:t>
      </w:r>
      <w:r>
        <w:rPr>
          <w:rFonts w:hint="eastAsia" w:ascii="仿宋" w:hAnsi="仿宋" w:eastAsia="仿宋" w:cs="仿宋"/>
          <w:kern w:val="0"/>
          <w:sz w:val="28"/>
          <w:szCs w:val="28"/>
        </w:rPr>
        <w:t>%，主要用于保障机构日常运转、完成日常工作任务；项目支出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0.31</w:t>
      </w:r>
      <w:r>
        <w:rPr>
          <w:rFonts w:hint="eastAsia" w:ascii="仿宋" w:hAnsi="仿宋" w:eastAsia="仿宋" w:cs="仿宋"/>
          <w:kern w:val="0"/>
          <w:sz w:val="28"/>
          <w:szCs w:val="28"/>
        </w:rPr>
        <w:t>%，主要用于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人代会议支出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4F051802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四、关于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财政拨款收支总表的说明</w:t>
      </w:r>
    </w:p>
    <w:p w14:paraId="629E2916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财政拨款收支预算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万元。收入按资金来源分为：一般公共预算拨款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万元；按资金年度分为：本年财政拨款收入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万元。支出按功能分类分为：社会保障和就业支出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112.35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6.99</w:t>
      </w:r>
      <w:r>
        <w:rPr>
          <w:rFonts w:hint="eastAsia" w:ascii="仿宋" w:hAnsi="仿宋" w:eastAsia="仿宋" w:cs="仿宋"/>
          <w:kern w:val="0"/>
          <w:sz w:val="28"/>
          <w:szCs w:val="28"/>
        </w:rPr>
        <w:t>%；卫生健康支出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40.24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2.50</w:t>
      </w:r>
      <w:r>
        <w:rPr>
          <w:rFonts w:hint="eastAsia" w:ascii="仿宋" w:hAnsi="仿宋" w:eastAsia="仿宋" w:cs="仿宋"/>
          <w:kern w:val="0"/>
          <w:sz w:val="28"/>
          <w:szCs w:val="28"/>
        </w:rPr>
        <w:t>%；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农林水支出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1373.60万元，占85.40%；</w:t>
      </w:r>
      <w:r>
        <w:rPr>
          <w:rFonts w:hint="eastAsia" w:ascii="仿宋" w:hAnsi="仿宋" w:eastAsia="仿宋" w:cs="仿宋"/>
          <w:kern w:val="0"/>
          <w:sz w:val="28"/>
          <w:szCs w:val="28"/>
        </w:rPr>
        <w:t>住房保障支出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82.20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5.11</w:t>
      </w:r>
      <w:r>
        <w:rPr>
          <w:rFonts w:hint="eastAsia" w:ascii="仿宋" w:hAnsi="仿宋" w:eastAsia="仿宋" w:cs="仿宋"/>
          <w:kern w:val="0"/>
          <w:sz w:val="28"/>
          <w:szCs w:val="28"/>
        </w:rPr>
        <w:t>%。</w:t>
      </w:r>
    </w:p>
    <w:p w14:paraId="48FEBDE7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五、关于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一般公共预算支出表的说明</w:t>
      </w:r>
    </w:p>
    <w:p w14:paraId="215DF757">
      <w:pPr>
        <w:pStyle w:val="4"/>
        <w:adjustRightInd w:val="0"/>
        <w:snapToGrid w:val="0"/>
        <w:spacing w:line="560" w:lineRule="exact"/>
        <w:ind w:firstLine="551" w:firstLineChars="196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（一）一般公共预算支出规模变化情况。</w:t>
      </w:r>
    </w:p>
    <w:p w14:paraId="234B66A4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一般公共预算支出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1608.39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年预算增加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95.96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万元，增长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6.34</w:t>
      </w:r>
      <w:r>
        <w:rPr>
          <w:rFonts w:hint="eastAsia" w:ascii="仿宋" w:hAnsi="仿宋" w:eastAsia="仿宋" w:cs="仿宋"/>
          <w:kern w:val="0"/>
          <w:sz w:val="28"/>
          <w:szCs w:val="28"/>
        </w:rPr>
        <w:t>%，主要原因：一是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工资普调上涨</w:t>
      </w:r>
      <w:r>
        <w:rPr>
          <w:rFonts w:hint="eastAsia" w:ascii="仿宋" w:hAnsi="仿宋" w:eastAsia="仿宋" w:cs="仿宋"/>
          <w:kern w:val="0"/>
          <w:sz w:val="28"/>
          <w:szCs w:val="28"/>
        </w:rPr>
        <w:t>；二是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社保基数上调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49DE98C0">
      <w:pPr>
        <w:pStyle w:val="4"/>
        <w:adjustRightInd w:val="0"/>
        <w:snapToGrid w:val="0"/>
        <w:spacing w:line="560" w:lineRule="exact"/>
        <w:ind w:firstLine="551" w:firstLineChars="196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（二）一般公共预算支出结构情况。</w:t>
      </w:r>
    </w:p>
    <w:p w14:paraId="3584C04B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社会保障和就业支出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112.35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6.99</w:t>
      </w:r>
      <w:r>
        <w:rPr>
          <w:rFonts w:hint="eastAsia" w:ascii="仿宋" w:hAnsi="仿宋" w:eastAsia="仿宋" w:cs="仿宋"/>
          <w:kern w:val="0"/>
          <w:sz w:val="28"/>
          <w:szCs w:val="28"/>
        </w:rPr>
        <w:t>%；卫生健康支出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40.24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2.50</w:t>
      </w:r>
      <w:r>
        <w:rPr>
          <w:rFonts w:hint="eastAsia" w:ascii="仿宋" w:hAnsi="仿宋" w:eastAsia="仿宋" w:cs="仿宋"/>
          <w:kern w:val="0"/>
          <w:sz w:val="28"/>
          <w:szCs w:val="28"/>
        </w:rPr>
        <w:t>%；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农林水支出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1373.60万元，占85.40%；</w:t>
      </w:r>
      <w:r>
        <w:rPr>
          <w:rFonts w:hint="eastAsia" w:ascii="仿宋" w:hAnsi="仿宋" w:eastAsia="仿宋" w:cs="仿宋"/>
          <w:kern w:val="0"/>
          <w:sz w:val="28"/>
          <w:szCs w:val="28"/>
        </w:rPr>
        <w:t>住房保障支出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82.20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5.11</w:t>
      </w:r>
      <w:r>
        <w:rPr>
          <w:rFonts w:hint="eastAsia" w:ascii="仿宋" w:hAnsi="仿宋" w:eastAsia="仿宋" w:cs="仿宋"/>
          <w:kern w:val="0"/>
          <w:sz w:val="28"/>
          <w:szCs w:val="28"/>
        </w:rPr>
        <w:t>%。</w:t>
      </w:r>
    </w:p>
    <w:p w14:paraId="4CCA7076">
      <w:pPr>
        <w:pStyle w:val="4"/>
        <w:adjustRightInd w:val="0"/>
        <w:snapToGrid w:val="0"/>
        <w:spacing w:line="560" w:lineRule="exact"/>
        <w:ind w:firstLine="551" w:firstLineChars="196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（三）一般公共预算支出具体使用情况。</w:t>
      </w:r>
    </w:p>
    <w:p w14:paraId="74D671D2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</w:rPr>
        <w:t>、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社会保障和就业支出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（类）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行政事业单位养老支出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（款）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行政单位离退休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（项）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19.48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年预算增加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19.48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用于发放离退休人员的基础性绩效津贴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4CD86D66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社会保障和就业支出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（类）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行政事业单位养老支出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（款）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机关事业单位基本养老保险缴费支出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（项）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60.85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减少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11.59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下降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16.01%，</w:t>
      </w:r>
      <w:r>
        <w:rPr>
          <w:rFonts w:hint="eastAsia" w:ascii="仿宋" w:hAnsi="仿宋" w:eastAsia="仿宋" w:cs="仿宋"/>
          <w:kern w:val="0"/>
          <w:sz w:val="28"/>
          <w:szCs w:val="28"/>
        </w:rPr>
        <w:t>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人员调整及退休，导致缴费基数下降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04BC7E6E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社会保障和就业支出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（类）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行政事业单位养老支出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（款）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机关事业单位职业年金缴费支出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（项）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30.42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减少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5.8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下降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16.01%，</w:t>
      </w:r>
      <w:r>
        <w:rPr>
          <w:rFonts w:hint="eastAsia" w:ascii="仿宋" w:hAnsi="仿宋" w:eastAsia="仿宋" w:cs="仿宋"/>
          <w:kern w:val="0"/>
          <w:sz w:val="28"/>
          <w:szCs w:val="28"/>
        </w:rPr>
        <w:t>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人员调整及退休，导致缴费基数下降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6C8DB913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社会保障和就业支出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（类）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其他社会保障和就业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（款）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其他社会保障和就业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（项）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1.6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增加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0.24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增长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17.65%，</w:t>
      </w:r>
      <w:r>
        <w:rPr>
          <w:rFonts w:hint="eastAsia" w:ascii="仿宋" w:hAnsi="仿宋" w:eastAsia="仿宋" w:cs="仿宋"/>
          <w:kern w:val="0"/>
          <w:sz w:val="28"/>
          <w:szCs w:val="28"/>
        </w:rPr>
        <w:t>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缴纳工伤、失业保险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4A36754F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卫生健康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（类）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行政事业单位医疗</w:t>
      </w:r>
      <w:r>
        <w:rPr>
          <w:rFonts w:hint="eastAsia" w:ascii="仿宋" w:hAnsi="仿宋" w:eastAsia="仿宋" w:cs="仿宋"/>
          <w:kern w:val="0"/>
          <w:sz w:val="28"/>
          <w:szCs w:val="28"/>
        </w:rPr>
        <w:t>（款）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行政单位医疗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（项）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27.38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减少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1.28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下降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4.47%，</w:t>
      </w:r>
      <w:r>
        <w:rPr>
          <w:rFonts w:hint="eastAsia" w:ascii="仿宋" w:hAnsi="仿宋" w:eastAsia="仿宋" w:cs="仿宋"/>
          <w:kern w:val="0"/>
          <w:sz w:val="28"/>
          <w:szCs w:val="28"/>
        </w:rPr>
        <w:t>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人员调整及退休，导致缴费基数下降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7F0EEB3E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卫生健康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（类）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行政事业单位医疗</w:t>
      </w:r>
      <w:r>
        <w:rPr>
          <w:rFonts w:hint="eastAsia" w:ascii="仿宋" w:hAnsi="仿宋" w:eastAsia="仿宋" w:cs="仿宋"/>
          <w:kern w:val="0"/>
          <w:sz w:val="28"/>
          <w:szCs w:val="28"/>
        </w:rPr>
        <w:t>（款）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公务员医疗补助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（项）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12.86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增加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2.63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增长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25.71%，</w:t>
      </w:r>
      <w:r>
        <w:rPr>
          <w:rFonts w:hint="eastAsia" w:ascii="仿宋" w:hAnsi="仿宋" w:eastAsia="仿宋" w:cs="仿宋"/>
          <w:kern w:val="0"/>
          <w:sz w:val="28"/>
          <w:szCs w:val="28"/>
        </w:rPr>
        <w:t>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人员退休人员公务员医疗补助从其他事业单位医疗中并入该项核算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2E8F124F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7、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农林水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（类）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农业农村</w:t>
      </w:r>
      <w:r>
        <w:rPr>
          <w:rFonts w:hint="eastAsia" w:ascii="仿宋" w:hAnsi="仿宋" w:eastAsia="仿宋" w:cs="仿宋"/>
          <w:kern w:val="0"/>
          <w:sz w:val="28"/>
          <w:szCs w:val="28"/>
        </w:rPr>
        <w:t>（款）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行政运行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（项）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1368.60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增加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152.07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增长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12.50%，</w:t>
      </w:r>
      <w:r>
        <w:rPr>
          <w:rFonts w:hint="eastAsia" w:ascii="仿宋" w:hAnsi="仿宋" w:eastAsia="仿宋" w:cs="仿宋"/>
          <w:kern w:val="0"/>
          <w:sz w:val="28"/>
          <w:szCs w:val="28"/>
        </w:rPr>
        <w:t>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人员工资上调，社保缴纳基数上涨。</w:t>
      </w:r>
    </w:p>
    <w:p w14:paraId="3A0A231C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8、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eastAsia="zh-CN"/>
        </w:rPr>
        <w:t>农林水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（类）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农业农村</w:t>
      </w:r>
      <w:r>
        <w:rPr>
          <w:rFonts w:hint="eastAsia" w:ascii="仿宋" w:hAnsi="仿宋" w:eastAsia="仿宋" w:cs="仿宋"/>
          <w:kern w:val="0"/>
          <w:sz w:val="28"/>
          <w:szCs w:val="28"/>
        </w:rPr>
        <w:t>（款）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一般行政管理事务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（项）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仿宋"/>
          <w:kern w:val="0"/>
          <w:sz w:val="28"/>
          <w:szCs w:val="28"/>
        </w:rPr>
        <w:t>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持平</w:t>
      </w:r>
      <w:r>
        <w:rPr>
          <w:rFonts w:hint="eastAsia" w:ascii="仿宋" w:hAnsi="仿宋" w:eastAsia="仿宋" w:cs="仿宋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增长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0%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。</w:t>
      </w:r>
    </w:p>
    <w:p w14:paraId="3064B5BA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kern w:val="0"/>
          <w:sz w:val="28"/>
          <w:szCs w:val="28"/>
        </w:rPr>
        <w:t>、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住房保障支出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（类）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住房改革支出</w:t>
      </w:r>
      <w:r>
        <w:rPr>
          <w:rFonts w:hint="eastAsia" w:ascii="仿宋" w:hAnsi="仿宋" w:eastAsia="仿宋" w:cs="仿宋"/>
          <w:kern w:val="0"/>
          <w:sz w:val="28"/>
          <w:szCs w:val="28"/>
        </w:rPr>
        <w:t>（款）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住房公积金</w:t>
      </w:r>
      <w:r>
        <w:rPr>
          <w:rFonts w:hint="eastAsia" w:ascii="仿宋" w:hAnsi="仿宋" w:eastAsia="仿宋" w:cs="仿宋"/>
          <w:kern w:val="0"/>
          <w:sz w:val="28"/>
          <w:szCs w:val="28"/>
        </w:rPr>
        <w:t>（项）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82.20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年预算减少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0.73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万元，下降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0.88</w:t>
      </w:r>
      <w:r>
        <w:rPr>
          <w:rFonts w:hint="eastAsia" w:ascii="仿宋" w:hAnsi="仿宋" w:eastAsia="仿宋" w:cs="仿宋"/>
          <w:kern w:val="0"/>
          <w:sz w:val="28"/>
          <w:szCs w:val="28"/>
        </w:rPr>
        <w:t>%，原因主要是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人员退休及调整，公积金缴费基数减少。</w:t>
      </w:r>
    </w:p>
    <w:p w14:paraId="61D5E0CF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六、关于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一般公共预算基本支出表的说明</w:t>
      </w:r>
    </w:p>
    <w:p w14:paraId="668DDD25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一般公共预算基本支出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1603.39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万元，其中，人员经费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1516.11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万元，公用经费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87.27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万元。</w:t>
      </w:r>
    </w:p>
    <w:p w14:paraId="2051DE28">
      <w:pPr>
        <w:ind w:firstLine="562" w:firstLineChars="200"/>
        <w:rPr>
          <w:rFonts w:hint="eastAsia" w:ascii="仿宋" w:hAnsi="仿宋" w:eastAsia="仿宋" w:cs="仿宋"/>
          <w:color w:val="0070C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>（一）人员经费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1516.11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</w:rPr>
        <w:t>主要包括:</w:t>
      </w:r>
      <w:r>
        <w:rPr>
          <w:rFonts w:hint="eastAsia" w:ascii="仿宋" w:hAnsi="仿宋" w:eastAsia="仿宋" w:cs="仿宋"/>
          <w:color w:val="0070C0"/>
          <w:kern w:val="0"/>
          <w:sz w:val="28"/>
          <w:szCs w:val="28"/>
        </w:rPr>
        <w:t>基本工资、津贴补贴、奖金、伙食补助费、绩效工资、机关事业单位基本养老保险费、职业年金缴费、职工基本医疗保险缴费、公务员医疗补助缴费、其他社会保障缴费、工会经费、住房公积金、医疗费、其他工资福利支出、退休费、生活补助。</w:t>
      </w:r>
    </w:p>
    <w:p w14:paraId="60E20260">
      <w:pPr>
        <w:ind w:firstLine="562" w:firstLineChars="200"/>
        <w:rPr>
          <w:rFonts w:hint="eastAsia" w:ascii="仿宋" w:hAnsi="仿宋" w:eastAsia="仿宋" w:cs="仿宋"/>
          <w:color w:val="0070C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>（二）公用经费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87.27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</w:rPr>
        <w:t>主要包括：</w:t>
      </w:r>
      <w:r>
        <w:rPr>
          <w:rFonts w:hint="eastAsia" w:ascii="仿宋" w:hAnsi="仿宋" w:eastAsia="仿宋" w:cs="仿宋"/>
          <w:color w:val="0070C0"/>
          <w:kern w:val="0"/>
          <w:sz w:val="28"/>
          <w:szCs w:val="28"/>
        </w:rPr>
        <w:t>办公费、水费、电费、邮电费、物业管理费、差旅费、维修（护）费、会议费、培训费、公务接待费、劳务费、委托业务费、公务用车运行维护费、其他交通费用。</w:t>
      </w:r>
    </w:p>
    <w:p w14:paraId="6A6199D7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七、关于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政府性基金预算支出表的说明</w:t>
      </w:r>
    </w:p>
    <w:p w14:paraId="02953604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没有政府性基金预算拨款收入，也没有使用政府性基金预算拨款安排的支出。</w:t>
      </w:r>
    </w:p>
    <w:p w14:paraId="4092E6A2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八、关于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国有资本经营预算支出表的说明</w:t>
      </w:r>
    </w:p>
    <w:p w14:paraId="001B1C6B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没有国有资本经营预算拨款收入，也没有使用国有资本经营预算拨款安排的支出。</w:t>
      </w:r>
    </w:p>
    <w:p w14:paraId="3D29D56C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九、关于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项目支出表的说明</w:t>
      </w:r>
    </w:p>
    <w:p w14:paraId="5BC05A95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预算共安排项目支出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仿宋"/>
          <w:kern w:val="0"/>
          <w:sz w:val="28"/>
          <w:szCs w:val="28"/>
        </w:rPr>
        <w:t>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持平</w:t>
      </w:r>
      <w:r>
        <w:rPr>
          <w:rFonts w:hint="eastAsia" w:ascii="仿宋" w:hAnsi="仿宋" w:eastAsia="仿宋" w:cs="仿宋"/>
          <w:kern w:val="0"/>
          <w:sz w:val="28"/>
          <w:szCs w:val="28"/>
        </w:rPr>
        <w:t>，增长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%。主要包括：本年财政拨款安排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万元（其中，一般公共预算拨款安排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万元，政府性基金预算拨款安排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万元），财政专户管理资金安排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万元。</w:t>
      </w:r>
    </w:p>
    <w:p w14:paraId="39297D30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十、关于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政府采购支出表的说明</w:t>
      </w:r>
    </w:p>
    <w:p w14:paraId="3D9FB43A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没有使用一般公共预算拨款、政府性基金预算拨款、国有资本经营预算拨款、财政专户管理资金和单位资金安排的政府采购支出。</w:t>
      </w:r>
    </w:p>
    <w:p w14:paraId="3ECBF4E1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十一、关于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bCs/>
          <w:sz w:val="28"/>
          <w:szCs w:val="28"/>
        </w:rPr>
        <w:t>政府购买服务支出表的说明</w:t>
      </w:r>
    </w:p>
    <w:p w14:paraId="2A3B035A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没有安排政府购买服务支出。</w:t>
      </w:r>
    </w:p>
    <w:p w14:paraId="1A9278C3">
      <w:pPr>
        <w:pStyle w:val="4"/>
        <w:numPr>
          <w:ilvl w:val="0"/>
          <w:numId w:val="1"/>
        </w:numPr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其他重要事项情况说明</w:t>
      </w:r>
    </w:p>
    <w:p w14:paraId="292E5DF0">
      <w:pPr>
        <w:pStyle w:val="4"/>
        <w:numPr>
          <w:ilvl w:val="0"/>
          <w:numId w:val="0"/>
        </w:numPr>
        <w:adjustRightInd w:val="0"/>
        <w:snapToGrid w:val="0"/>
        <w:spacing w:line="560" w:lineRule="exact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 xml:space="preserve">     无。</w:t>
      </w:r>
    </w:p>
    <w:p w14:paraId="2B574C4B">
      <w:pPr>
        <w:adjustRightInd w:val="0"/>
        <w:snapToGrid w:val="0"/>
        <w:spacing w:line="58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（一）项目及绩效目标情况。</w:t>
      </w:r>
    </w:p>
    <w:p w14:paraId="6E033210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1、“人代会经费”项目。</w:t>
      </w:r>
    </w:p>
    <w:p w14:paraId="17F42E2C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（1）项目概述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保障朔里镇代表区人大活动正常开展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。</w:t>
      </w:r>
    </w:p>
    <w:p w14:paraId="43B98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（2）立项依据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：参照往年会议</w:t>
      </w:r>
    </w:p>
    <w:p w14:paraId="0FA7B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（3）实施主体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：杜集区朔里镇人大</w:t>
      </w:r>
    </w:p>
    <w:p w14:paraId="46119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（4）起止时间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2024.01-2024.12</w:t>
      </w:r>
    </w:p>
    <w:p w14:paraId="199A1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（5）项目内容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:2024年度人大会议经费</w:t>
      </w:r>
    </w:p>
    <w:p w14:paraId="60699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（6）年度预算安排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5.00万元</w:t>
      </w:r>
    </w:p>
    <w:p w14:paraId="707E6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（7）绩效目标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保障朔里镇代表人大活动正常开展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3F9A33D7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723"/>
        <w:gridCol w:w="282"/>
        <w:gridCol w:w="477"/>
        <w:gridCol w:w="2872"/>
        <w:gridCol w:w="1848"/>
        <w:gridCol w:w="2380"/>
      </w:tblGrid>
      <w:tr w14:paraId="38F79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90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0D3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项目支出绩效目标表</w:t>
            </w:r>
          </w:p>
        </w:tc>
      </w:tr>
      <w:tr w14:paraId="245AF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20" w:type="dxa"/>
            <w:gridSpan w:val="7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2F6B2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2025年度</w:t>
            </w:r>
          </w:p>
        </w:tc>
      </w:tr>
      <w:tr w14:paraId="6F951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4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E346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57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9C2F8A4">
            <w:pPr>
              <w:jc w:val="center"/>
              <w:rPr>
                <w:rFonts w:hint="eastAsia" w:ascii="宋体" w:eastAsia="仿宋_GB2312" w:cs="宋体"/>
                <w:sz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eastAsia="zh-CN"/>
              </w:rPr>
              <w:t>人大经费</w:t>
            </w:r>
          </w:p>
        </w:tc>
      </w:tr>
      <w:tr w14:paraId="6B4A4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44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8D08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主管部门   及代码</w:t>
            </w:r>
          </w:p>
        </w:tc>
        <w:tc>
          <w:tcPr>
            <w:tcW w:w="33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F35085">
            <w:pPr>
              <w:jc w:val="center"/>
              <w:rPr>
                <w:rFonts w:hint="eastAsia" w:ascii="宋体" w:eastAsia="仿宋_GB2312" w:cs="宋体"/>
                <w:sz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eastAsia="zh-CN"/>
              </w:rPr>
              <w:t>杜集区朔里镇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noWrap w:val="0"/>
            <w:vAlign w:val="center"/>
          </w:tcPr>
          <w:p w14:paraId="4E8D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380" w:type="dxa"/>
            <w:tcBorders>
              <w:tl2br w:val="nil"/>
              <w:tr2bl w:val="nil"/>
            </w:tcBorders>
            <w:noWrap w:val="0"/>
            <w:vAlign w:val="center"/>
          </w:tcPr>
          <w:p w14:paraId="3C825D1A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杜集区朔里镇</w:t>
            </w:r>
          </w:p>
        </w:tc>
      </w:tr>
      <w:tr w14:paraId="2670B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4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9475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项目来源</w:t>
            </w:r>
          </w:p>
        </w:tc>
        <w:tc>
          <w:tcPr>
            <w:tcW w:w="33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2BA9A11">
            <w:pPr>
              <w:jc w:val="center"/>
              <w:rPr>
                <w:rFonts w:hint="eastAsia" w:ascii="宋体" w:eastAsia="仿宋_GB2312" w:cs="宋体"/>
                <w:sz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eastAsia="zh-CN"/>
              </w:rPr>
              <w:t>年初预算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noWrap w:val="0"/>
            <w:vAlign w:val="center"/>
          </w:tcPr>
          <w:p w14:paraId="73786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项目期</w:t>
            </w:r>
          </w:p>
        </w:tc>
        <w:tc>
          <w:tcPr>
            <w:tcW w:w="2380" w:type="dxa"/>
            <w:tcBorders>
              <w:tl2br w:val="nil"/>
              <w:tr2bl w:val="nil"/>
            </w:tcBorders>
            <w:noWrap w:val="0"/>
            <w:vAlign w:val="center"/>
          </w:tcPr>
          <w:p w14:paraId="27197424">
            <w:pPr>
              <w:jc w:val="center"/>
              <w:rPr>
                <w:rFonts w:hint="default" w:eastAsia="仿宋_GB231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2025年度</w:t>
            </w:r>
          </w:p>
        </w:tc>
      </w:tr>
      <w:tr w14:paraId="34753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43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1AE6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项目资金</w:t>
            </w:r>
          </w:p>
          <w:p w14:paraId="2FD1F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33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EFC0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年度资金总额：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A25FAD6">
            <w:pPr>
              <w:jc w:val="right"/>
              <w:rPr>
                <w:rFonts w:hint="default" w:ascii="宋体" w:eastAsia="仿宋_GB2312" w:cs="宋体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val="en-US" w:eastAsia="zh-CN"/>
              </w:rPr>
              <w:t>5.00</w:t>
            </w:r>
          </w:p>
        </w:tc>
      </w:tr>
      <w:tr w14:paraId="49FB2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43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C633D79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33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7BF9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其中：财政拨款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94B3E21">
            <w:pPr>
              <w:jc w:val="right"/>
              <w:rPr>
                <w:rFonts w:hint="default" w:ascii="宋体" w:eastAsia="仿宋_GB2312" w:cs="宋体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val="en-US" w:eastAsia="zh-CN"/>
              </w:rPr>
              <w:t>5.00</w:t>
            </w:r>
          </w:p>
        </w:tc>
      </w:tr>
      <w:tr w14:paraId="1BFBB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43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E7BC367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33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045C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上年结转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833DC9F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2176D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43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B80FE24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33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9DC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其他资金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2DD5BC">
            <w:pPr>
              <w:jc w:val="right"/>
              <w:rPr>
                <w:rFonts w:ascii="宋体" w:cs="宋体"/>
                <w:sz w:val="20"/>
                <w:highlight w:val="none"/>
              </w:rPr>
            </w:pPr>
          </w:p>
        </w:tc>
      </w:tr>
      <w:tr w14:paraId="10B2F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438" w:type="dxa"/>
            <w:tcBorders>
              <w:tl2br w:val="nil"/>
              <w:tr2bl w:val="nil"/>
            </w:tcBorders>
            <w:noWrap w:val="0"/>
            <w:vAlign w:val="center"/>
          </w:tcPr>
          <w:p w14:paraId="1D2ED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年度</w:t>
            </w:r>
          </w:p>
          <w:p w14:paraId="60747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目标</w:t>
            </w:r>
          </w:p>
        </w:tc>
        <w:tc>
          <w:tcPr>
            <w:tcW w:w="858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A094362">
            <w:pPr>
              <w:jc w:val="left"/>
              <w:rPr>
                <w:rFonts w:ascii="宋体" w:cs="宋体"/>
                <w:sz w:val="20"/>
                <w:highlight w:val="none"/>
              </w:rPr>
            </w:pPr>
          </w:p>
        </w:tc>
      </w:tr>
      <w:tr w14:paraId="0A340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43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A7E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绩</w:t>
            </w:r>
          </w:p>
          <w:p w14:paraId="45AF6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效</w:t>
            </w:r>
          </w:p>
          <w:p w14:paraId="09E91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</w:t>
            </w:r>
          </w:p>
          <w:p w14:paraId="7B79A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标</w:t>
            </w:r>
          </w:p>
        </w:tc>
        <w:tc>
          <w:tcPr>
            <w:tcW w:w="723" w:type="dxa"/>
            <w:tcBorders>
              <w:tl2br w:val="nil"/>
              <w:tr2bl w:val="nil"/>
            </w:tcBorders>
            <w:noWrap w:val="0"/>
            <w:vAlign w:val="center"/>
          </w:tcPr>
          <w:p w14:paraId="03B5C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一级</w:t>
            </w:r>
          </w:p>
          <w:p w14:paraId="75D24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</w:t>
            </w:r>
          </w:p>
        </w:tc>
        <w:tc>
          <w:tcPr>
            <w:tcW w:w="7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FF08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4C75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D07F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指标值</w:t>
            </w:r>
          </w:p>
        </w:tc>
      </w:tr>
      <w:tr w14:paraId="6647F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C03A226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BFDE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75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5FBC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4A87B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指标1：</w:t>
            </w:r>
            <w:r>
              <w:rPr>
                <w:rFonts w:hint="eastAsia" w:ascii="TimesNewRoman" w:hAnsi="TimesNewRoman" w:eastAsia="宋体" w:cs="TimesNew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人大会议次数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B69E332">
            <w:pPr>
              <w:jc w:val="center"/>
              <w:rPr>
                <w:rFonts w:hint="eastAsia" w:ascii="宋体" w:eastAsia="仿宋_GB2312" w:cs="宋体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val="en-US" w:eastAsia="zh-CN"/>
              </w:rPr>
              <w:t>2次</w:t>
            </w:r>
          </w:p>
        </w:tc>
      </w:tr>
      <w:tr w14:paraId="29941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D624CCE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18A3FF6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3B5EDEB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43539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default" w:ascii="汉仪中秀体简" w:hAnsi="汉仪中秀体简" w:eastAsia="汉仪中秀体简" w:cs="汉仪中秀体简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DF6AA38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44E7A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F9AD60A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8E84FA8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573E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579A5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指标1：</w:t>
            </w:r>
            <w:r>
              <w:rPr>
                <w:rFonts w:hint="eastAsia" w:ascii="TimesNewRoman" w:hAnsi="TimesNewRoman" w:eastAsia="宋体" w:cs="TimesNew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参会人数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8CFA890">
            <w:pPr>
              <w:jc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大于等于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125人/次</w:t>
            </w:r>
          </w:p>
        </w:tc>
      </w:tr>
      <w:tr w14:paraId="1DCF1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7F889A6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54E0964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55F01A9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11336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default" w:ascii="汉仪中秀体简" w:hAnsi="汉仪中秀体简" w:eastAsia="汉仪中秀体简" w:cs="汉仪中秀体简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BDC2132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042C0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CFEDD3C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37ACD6F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7278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55E67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指标1：</w:t>
            </w:r>
            <w:r>
              <w:rPr>
                <w:rFonts w:hint="eastAsia" w:ascii="TimesNewRoman" w:hAnsi="TimesNewRoman" w:eastAsia="宋体" w:cs="TimesNew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会议年度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D6754BA">
            <w:pPr>
              <w:jc w:val="center"/>
              <w:rPr>
                <w:rFonts w:hint="default" w:ascii="宋体" w:eastAsia="仿宋_GB2312" w:cs="宋体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val="en-US" w:eastAsia="zh-CN"/>
              </w:rPr>
              <w:t>2025年</w:t>
            </w:r>
          </w:p>
        </w:tc>
      </w:tr>
      <w:tr w14:paraId="113DB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16DED57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EE4066C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F1C1C20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699979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default" w:ascii="汉仪中秀体简" w:hAnsi="汉仪中秀体简" w:eastAsia="汉仪中秀体简" w:cs="汉仪中秀体简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08F5CF5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24541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D0099C9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E58D8B8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924F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0B80A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指标1：</w:t>
            </w:r>
            <w:r>
              <w:rPr>
                <w:rFonts w:hint="eastAsia" w:ascii="TimesNewRoman" w:hAnsi="TimesNewRoman" w:eastAsia="宋体" w:cs="TimesNew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项目总支出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4CD404A">
            <w:pPr>
              <w:jc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TimesNewRoman" w:hAnsi="TimesNewRoman" w:cs="TimesNewRoman"/>
                <w:sz w:val="20"/>
                <w:highlight w:val="none"/>
                <w:lang w:eastAsia="zh-CN"/>
              </w:rPr>
              <w:t>小于等于</w:t>
            </w:r>
            <w:r>
              <w:rPr>
                <w:rFonts w:hint="eastAsia" w:ascii="TimesNewRoman" w:hAnsi="TimesNewRoman" w:cs="TimesNewRoman"/>
                <w:sz w:val="20"/>
                <w:highlight w:val="none"/>
                <w:lang w:val="en-US" w:eastAsia="zh-CN"/>
              </w:rPr>
              <w:t>5万元</w:t>
            </w:r>
          </w:p>
        </w:tc>
      </w:tr>
      <w:tr w14:paraId="3CF4B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C5765E7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A89992C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D992F70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36082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default" w:ascii="汉仪中秀体简" w:hAnsi="汉仪中秀体简" w:eastAsia="汉仪中秀体简" w:cs="汉仪中秀体简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25A44BB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46C2A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F560118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0BC431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B7AE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3E7427AE">
            <w:pPr>
              <w:jc w:val="left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F8BB542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64806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F677E45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F765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75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6B73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1297C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指标1：不适用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EEF2C4C">
            <w:pPr>
              <w:jc w:val="center"/>
              <w:rPr>
                <w:rFonts w:hint="eastAsia" w:ascii="宋体" w:eastAsia="仿宋_GB2312" w:cs="宋体"/>
                <w:sz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eastAsia="zh-CN"/>
              </w:rPr>
              <w:t>不适用</w:t>
            </w:r>
          </w:p>
        </w:tc>
      </w:tr>
      <w:tr w14:paraId="1D981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1CE7D5B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61BA85C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C41CC78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487471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default" w:ascii="汉仪中秀体简" w:hAnsi="汉仪中秀体简" w:eastAsia="汉仪中秀体简" w:cs="汉仪中秀体简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C1063D5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7088F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41679AC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92FA866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1D75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22DA7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指标1：</w:t>
            </w:r>
            <w:r>
              <w:rPr>
                <w:rFonts w:hint="eastAsia" w:ascii="TimesNewRoman" w:hAnsi="TimesNewRoman" w:eastAsia="宋体" w:cs="TimesNew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提升人大代表履职参政议政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3A11DE4">
            <w:pPr>
              <w:jc w:val="center"/>
              <w:rPr>
                <w:rFonts w:hint="eastAsia" w:ascii="宋体" w:eastAsia="仿宋_GB2312" w:cs="宋体"/>
                <w:sz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eastAsia="zh-CN"/>
              </w:rPr>
              <w:t>提高</w:t>
            </w:r>
          </w:p>
        </w:tc>
      </w:tr>
      <w:tr w14:paraId="5EB8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8945874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183A358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1A95C41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33338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default" w:ascii="汉仪中秀体简" w:hAnsi="汉仪中秀体简" w:eastAsia="汉仪中秀体简" w:cs="汉仪中秀体简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34BAE95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52C2C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2ACA13D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6ED7D3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CC5F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2DAA2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指标1：不适用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FF574A3">
            <w:pPr>
              <w:jc w:val="center"/>
              <w:rPr>
                <w:rFonts w:hint="eastAsia" w:ascii="宋体" w:eastAsia="仿宋_GB2312" w:cs="宋体"/>
                <w:sz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eastAsia="zh-CN"/>
              </w:rPr>
              <w:t>不适用</w:t>
            </w:r>
          </w:p>
        </w:tc>
      </w:tr>
      <w:tr w14:paraId="71B88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8031E9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BDC64B4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02DF06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5946A2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汉仪中秀体简" w:hAnsi="汉仪中秀体简" w:eastAsia="汉仪中秀体简" w:cs="汉仪中秀体简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汉仪中秀体简" w:hAnsi="汉仪中秀体简" w:eastAsia="汉仪中秀体简" w:cs="汉仪中秀体简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FA47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汉仪中秀体简" w:hAnsi="汉仪中秀体简" w:eastAsia="汉仪中秀体简" w:cs="汉仪中秀体简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6EF62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BE5E990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3F49256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6D6B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highlight w:val="none"/>
              </w:rPr>
              <w:t>可持续影响指标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500A8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指标1：</w:t>
            </w:r>
            <w:r>
              <w:rPr>
                <w:rFonts w:hint="eastAsia" w:ascii="TimesNewRoman" w:hAnsi="TimesNewRoman" w:eastAsia="宋体" w:cs="TimesNew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保障人大会议及活动开展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D9557FB">
            <w:pPr>
              <w:jc w:val="center"/>
              <w:rPr>
                <w:rFonts w:hint="eastAsia" w:ascii="宋体" w:eastAsia="仿宋_GB2312" w:cs="宋体"/>
                <w:sz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sz w:val="20"/>
                <w:highlight w:val="none"/>
                <w:lang w:eastAsia="zh-CN"/>
              </w:rPr>
              <w:t>有效保障</w:t>
            </w:r>
          </w:p>
        </w:tc>
      </w:tr>
      <w:tr w14:paraId="2AE1C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DFC51C6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B4BD47F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3630BD">
            <w:pPr>
              <w:jc w:val="center"/>
              <w:rPr>
                <w:rFonts w:hint="eastAsia" w:ascii="宋体" w:hAnsi="宋体" w:eastAsia="宋体" w:cs="宋体"/>
                <w:sz w:val="20"/>
                <w:highlight w:val="none"/>
              </w:rPr>
            </w:pP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75B1A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1BE6E88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30AA2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5950A62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0A21773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3B39F0F">
            <w:pPr>
              <w:jc w:val="center"/>
              <w:rPr>
                <w:rFonts w:hint="eastAsia" w:ascii="宋体" w:hAnsi="宋体" w:eastAsia="宋体" w:cs="宋体"/>
                <w:sz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7902C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5F27BCF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  <w:tr w14:paraId="16D02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D0E178C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8BCA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highlight w:val="none"/>
                <w:lang w:eastAsia="zh-CN"/>
              </w:rPr>
              <w:t>满意度指标</w:t>
            </w:r>
          </w:p>
        </w:tc>
        <w:tc>
          <w:tcPr>
            <w:tcW w:w="75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7246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highlight w:val="none"/>
                <w:lang w:eastAsia="zh-CN"/>
              </w:rPr>
              <w:t>满意度指标</w:t>
            </w: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6B465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指标1：</w:t>
            </w:r>
            <w:r>
              <w:rPr>
                <w:rFonts w:hint="eastAsia" w:ascii="TimesNewRoman" w:hAnsi="TimesNewRoman" w:eastAsia="宋体" w:cs="TimesNew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参会代表满意度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E93495B">
            <w:pPr>
              <w:jc w:val="center"/>
              <w:rPr>
                <w:rFonts w:ascii="宋体" w:cs="宋体"/>
                <w:sz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highlight w:val="none"/>
                <w:lang w:eastAsia="zh-CN"/>
              </w:rPr>
              <w:t>大于等于</w:t>
            </w:r>
            <w:r>
              <w:rPr>
                <w:rFonts w:hint="eastAsia" w:ascii="仿宋" w:hAnsi="仿宋" w:eastAsia="仿宋" w:cs="仿宋"/>
                <w:sz w:val="20"/>
                <w:highlight w:val="none"/>
                <w:lang w:val="en-US" w:eastAsia="zh-CN"/>
              </w:rPr>
              <w:t>90%</w:t>
            </w:r>
          </w:p>
        </w:tc>
      </w:tr>
      <w:tr w14:paraId="1CDB0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12D1945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C4DF0B3">
            <w:pPr>
              <w:jc w:val="center"/>
              <w:rPr>
                <w:rFonts w:hint="eastAsia" w:ascii="宋体" w:hAnsi="宋体" w:eastAsia="宋体" w:cs="宋体"/>
                <w:sz w:val="20"/>
                <w:highlight w:val="none"/>
              </w:rPr>
            </w:pPr>
          </w:p>
        </w:tc>
        <w:tc>
          <w:tcPr>
            <w:tcW w:w="75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27F5B44">
            <w:pPr>
              <w:jc w:val="center"/>
              <w:rPr>
                <w:rFonts w:hint="eastAsia" w:ascii="宋体" w:hAnsi="宋体" w:eastAsia="宋体" w:cs="宋体"/>
                <w:sz w:val="20"/>
                <w:highlight w:val="none"/>
              </w:rPr>
            </w:pPr>
          </w:p>
        </w:tc>
        <w:tc>
          <w:tcPr>
            <w:tcW w:w="2872" w:type="dxa"/>
            <w:tcBorders>
              <w:tl2br w:val="nil"/>
              <w:tr2bl w:val="nil"/>
            </w:tcBorders>
            <w:noWrap w:val="0"/>
            <w:vAlign w:val="center"/>
          </w:tcPr>
          <w:p w14:paraId="2C1462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42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3CD0C53">
            <w:pPr>
              <w:jc w:val="center"/>
              <w:rPr>
                <w:rFonts w:ascii="宋体" w:cs="宋体"/>
                <w:sz w:val="20"/>
                <w:highlight w:val="none"/>
              </w:rPr>
            </w:pPr>
          </w:p>
        </w:tc>
      </w:tr>
    </w:tbl>
    <w:p w14:paraId="0554BA58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3B3C3B0D">
      <w:pPr>
        <w:adjustRightInd w:val="0"/>
        <w:snapToGrid w:val="0"/>
        <w:spacing w:line="58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（二）机关运行经费。</w:t>
      </w:r>
    </w:p>
    <w:p w14:paraId="6605FB4D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机关运行经费财政拨款预算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87.27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万元，比202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年预算增加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6.92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万元，增长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8.61</w:t>
      </w:r>
      <w:r>
        <w:rPr>
          <w:rFonts w:hint="eastAsia" w:ascii="仿宋" w:hAnsi="仿宋" w:eastAsia="仿宋" w:cs="仿宋"/>
          <w:kern w:val="0"/>
          <w:sz w:val="28"/>
          <w:szCs w:val="28"/>
        </w:rPr>
        <w:t>%，原因主要是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办公设备比较陈旧，维修频率增加、办公耗材等材料成本上涨，采购价格上涨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2DEDB5E5">
      <w:pPr>
        <w:adjustRightInd w:val="0"/>
        <w:snapToGrid w:val="0"/>
        <w:spacing w:line="58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（三）政府采购情况。</w:t>
      </w:r>
    </w:p>
    <w:p w14:paraId="49CBAC59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政府采购预算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万元。其中：政府采购货物预算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万元，政府采购工程预算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万元，政府采购服务预算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万元。</w:t>
      </w:r>
    </w:p>
    <w:p w14:paraId="32A2D6A4">
      <w:pPr>
        <w:adjustRightInd w:val="0"/>
        <w:snapToGrid w:val="0"/>
        <w:spacing w:line="58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（四）国有资产占有使用情况。</w:t>
      </w:r>
    </w:p>
    <w:p w14:paraId="253005B6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截至202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年12月31日，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</w:t>
      </w:r>
      <w:r>
        <w:rPr>
          <w:rFonts w:hint="eastAsia" w:ascii="仿宋" w:hAnsi="仿宋" w:eastAsia="仿宋" w:cs="仿宋"/>
          <w:kern w:val="0"/>
          <w:sz w:val="28"/>
          <w:szCs w:val="28"/>
        </w:rPr>
        <w:t>共有车辆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辆，其中：主要领导干部用车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辆、特种专业技术用车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</w:rPr>
        <w:t>辆、其他用车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辆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。</w:t>
      </w:r>
    </w:p>
    <w:p w14:paraId="4A7035B2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单位预算安排购置公务用车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辆，购置费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万元；安排购置单价50万元以上的通用设备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台（套），购置费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万元；安排购置单价100万元以上专用设备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台（套），购置费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万元。</w:t>
      </w:r>
    </w:p>
    <w:p w14:paraId="6B35CAF2">
      <w:pPr>
        <w:pStyle w:val="4"/>
        <w:adjustRightInd w:val="0"/>
        <w:snapToGrid w:val="0"/>
        <w:spacing w:line="560" w:lineRule="exact"/>
        <w:ind w:firstLine="548" w:firstLineChars="196"/>
        <w:rPr>
          <w:rFonts w:hint="eastAsia" w:ascii="仿宋" w:hAnsi="仿宋" w:eastAsia="仿宋" w:cs="仿宋"/>
          <w:color w:val="FF0000"/>
          <w:sz w:val="28"/>
          <w:szCs w:val="28"/>
        </w:rPr>
      </w:pPr>
    </w:p>
    <w:p w14:paraId="64092D7B">
      <w:pPr>
        <w:adjustRightInd w:val="0"/>
        <w:snapToGrid w:val="0"/>
        <w:spacing w:line="58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（五）绩效目标设置情况。</w:t>
      </w:r>
    </w:p>
    <w:p w14:paraId="7004C5ED">
      <w:pPr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2025年</w:t>
      </w:r>
      <w:r>
        <w:rPr>
          <w:rFonts w:hint="eastAsia" w:ascii="仿宋" w:hAnsi="仿宋" w:eastAsia="仿宋" w:cs="仿宋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杜集区朔里镇人民政府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个项目实行了绩效目标管理，涉及一般公共预算当年财政拨款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万元、政府性基金预算当年财政拨款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万元、财政专户管理资金当年安排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28"/>
          <w:szCs w:val="28"/>
        </w:rPr>
        <w:t>万元。</w:t>
      </w:r>
    </w:p>
    <w:p w14:paraId="0B7E4FCF">
      <w:pPr>
        <w:pStyle w:val="4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Cs/>
          <w:sz w:val="28"/>
          <w:szCs w:val="28"/>
        </w:rPr>
      </w:pPr>
    </w:p>
    <w:p w14:paraId="579EB7F4">
      <w:pPr>
        <w:pStyle w:val="4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第四部分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28"/>
          <w:szCs w:val="28"/>
        </w:rPr>
        <w:t xml:space="preserve"> 名词解释</w:t>
      </w:r>
    </w:p>
    <w:p w14:paraId="6E26ABD7">
      <w:pPr>
        <w:rPr>
          <w:rFonts w:hint="eastAsia" w:ascii="仿宋" w:hAnsi="仿宋" w:eastAsia="仿宋" w:cs="仿宋"/>
          <w:sz w:val="28"/>
          <w:szCs w:val="28"/>
        </w:rPr>
      </w:pPr>
    </w:p>
    <w:p w14:paraId="1DF92887">
      <w:pPr>
        <w:pStyle w:val="4"/>
        <w:adjustRightInd w:val="0"/>
        <w:snapToGrid w:val="0"/>
        <w:spacing w:line="560" w:lineRule="exact"/>
        <w:ind w:firstLine="551" w:firstLineChars="19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一、财政拨款收入：</w:t>
      </w:r>
      <w:r>
        <w:rPr>
          <w:rFonts w:hint="eastAsia" w:ascii="仿宋" w:hAnsi="仿宋" w:eastAsia="仿宋" w:cs="仿宋"/>
          <w:sz w:val="28"/>
          <w:szCs w:val="28"/>
        </w:rPr>
        <w:t>指部门或单位从同级财政部门取得的财政预算资金。</w:t>
      </w:r>
    </w:p>
    <w:p w14:paraId="1E6F16B6">
      <w:pPr>
        <w:pStyle w:val="4"/>
        <w:adjustRightInd w:val="0"/>
        <w:snapToGrid w:val="0"/>
        <w:spacing w:line="560" w:lineRule="exact"/>
        <w:ind w:firstLine="551" w:firstLineChars="19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sz w:val="28"/>
          <w:szCs w:val="28"/>
        </w:rPr>
        <w:t>、基本支出：</w:t>
      </w:r>
      <w:r>
        <w:rPr>
          <w:rFonts w:hint="eastAsia" w:ascii="仿宋" w:hAnsi="仿宋" w:eastAsia="仿宋" w:cs="仿宋"/>
          <w:sz w:val="28"/>
          <w:szCs w:val="28"/>
        </w:rPr>
        <w:t>指为保障机构正常运转、完成日常工作任务而发生的人员支出和公用支出。</w:t>
      </w:r>
    </w:p>
    <w:p w14:paraId="0E2FFAC1">
      <w:pPr>
        <w:pStyle w:val="4"/>
        <w:adjustRightInd w:val="0"/>
        <w:snapToGrid w:val="0"/>
        <w:spacing w:line="560" w:lineRule="exact"/>
        <w:ind w:firstLine="551" w:firstLineChars="19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sz w:val="28"/>
          <w:szCs w:val="28"/>
        </w:rPr>
        <w:t>、项目支出：</w:t>
      </w:r>
      <w:r>
        <w:rPr>
          <w:rFonts w:hint="eastAsia" w:ascii="仿宋" w:hAnsi="仿宋" w:eastAsia="仿宋" w:cs="仿宋"/>
          <w:sz w:val="28"/>
          <w:szCs w:val="28"/>
        </w:rPr>
        <w:t>指在除基本支出之外的支出，主要用于完成特定的工作任务和事业发展目标。</w:t>
      </w:r>
    </w:p>
    <w:p w14:paraId="006A801B">
      <w:pPr>
        <w:pStyle w:val="4"/>
        <w:adjustRightInd w:val="0"/>
        <w:snapToGrid w:val="0"/>
        <w:spacing w:line="560" w:lineRule="exact"/>
        <w:ind w:firstLine="551" w:firstLineChars="19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、机关运行经费: </w:t>
      </w:r>
      <w:r>
        <w:rPr>
          <w:rFonts w:hint="eastAsia" w:ascii="仿宋" w:hAnsi="仿宋" w:eastAsia="仿宋" w:cs="仿宋"/>
          <w:sz w:val="28"/>
          <w:szCs w:val="28"/>
        </w:rPr>
        <w:t>为保障行政单位（包括参照公务员法管理的事业单位）运行用于购买货物和服务的各项资金，包括办公及印刷费、邮电费、差旅费、会议费、福利费、日常维修费、一般设备购置费、办公用房水电费、办公用房取暖费、办公用房物业管理费、公务用车运行维护费以及其他费用。</w:t>
      </w:r>
    </w:p>
    <w:p w14:paraId="69C34C62">
      <w:pPr>
        <w:rPr>
          <w:rFonts w:hint="eastAsia" w:ascii="仿宋" w:hAnsi="仿宋" w:eastAsia="仿宋" w:cs="仿宋"/>
          <w:sz w:val="28"/>
          <w:szCs w:val="28"/>
        </w:rPr>
      </w:pPr>
    </w:p>
    <w:p w14:paraId="4670B7B1">
      <w:pPr>
        <w:rPr>
          <w:rFonts w:hint="eastAsia" w:ascii="仿宋" w:hAnsi="仿宋" w:eastAsia="仿宋" w:cs="仿宋"/>
          <w:sz w:val="28"/>
          <w:szCs w:val="28"/>
        </w:rPr>
      </w:pPr>
    </w:p>
    <w:p w14:paraId="49510B67">
      <w:pPr>
        <w:rPr>
          <w:rFonts w:hint="eastAsia" w:ascii="仿宋" w:hAnsi="仿宋" w:eastAsia="仿宋" w:cs="仿宋"/>
          <w:sz w:val="28"/>
          <w:szCs w:val="28"/>
        </w:rPr>
      </w:pPr>
    </w:p>
    <w:p w14:paraId="417F220A">
      <w:pPr>
        <w:rPr>
          <w:rFonts w:hint="eastAsia" w:ascii="仿宋" w:hAnsi="仿宋" w:eastAsia="仿宋" w:cs="仿宋"/>
          <w:sz w:val="28"/>
          <w:szCs w:val="28"/>
        </w:rPr>
      </w:pPr>
    </w:p>
    <w:p w14:paraId="3DF39CB9"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304" w:right="1134" w:bottom="130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29" w:usb3="00000000" w:csb0="6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中秀体简">
    <w:altName w:val="hakuyoxingshu7000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6332F"/>
    <w:multiLevelType w:val="singleLevel"/>
    <w:tmpl w:val="1416332F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07C4"/>
    <w:rsid w:val="000E28EE"/>
    <w:rsid w:val="00267E33"/>
    <w:rsid w:val="004A4DC6"/>
    <w:rsid w:val="0057562B"/>
    <w:rsid w:val="006546AF"/>
    <w:rsid w:val="00726D96"/>
    <w:rsid w:val="008F6D1A"/>
    <w:rsid w:val="009A3CA3"/>
    <w:rsid w:val="00AE3242"/>
    <w:rsid w:val="00BD640A"/>
    <w:rsid w:val="00DB2A5C"/>
    <w:rsid w:val="00E907C4"/>
    <w:rsid w:val="00EC7755"/>
    <w:rsid w:val="00F974AD"/>
    <w:rsid w:val="080C1C40"/>
    <w:rsid w:val="0A1A3FDB"/>
    <w:rsid w:val="0A6842D0"/>
    <w:rsid w:val="0FD83D5F"/>
    <w:rsid w:val="18422D9E"/>
    <w:rsid w:val="1B4072CF"/>
    <w:rsid w:val="1CA8321B"/>
    <w:rsid w:val="1D083E1C"/>
    <w:rsid w:val="1FF40688"/>
    <w:rsid w:val="2B58159A"/>
    <w:rsid w:val="2C0775AF"/>
    <w:rsid w:val="2D171678"/>
    <w:rsid w:val="2DD45C83"/>
    <w:rsid w:val="36156A40"/>
    <w:rsid w:val="3EAA48DB"/>
    <w:rsid w:val="43452E25"/>
    <w:rsid w:val="44BD51A3"/>
    <w:rsid w:val="537312E8"/>
    <w:rsid w:val="67834895"/>
    <w:rsid w:val="6A0F0E9D"/>
    <w:rsid w:val="6C040FAA"/>
    <w:rsid w:val="6CE6053F"/>
    <w:rsid w:val="6D5238C5"/>
    <w:rsid w:val="728B7844"/>
    <w:rsid w:val="738D3CFE"/>
    <w:rsid w:val="762A6544"/>
    <w:rsid w:val="7D15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4509</Words>
  <Characters>5119</Characters>
  <Lines>46</Lines>
  <Paragraphs>13</Paragraphs>
  <TotalTime>10</TotalTime>
  <ScaleCrop>false</ScaleCrop>
  <LinksUpToDate>false</LinksUpToDate>
  <CharactersWithSpaces>5202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2023-01-30T01:51:00Z</dcterms:created>
  <dc:creator>lenovo</dc:creator>
  <cp:lastModifiedBy>Administrator</cp:lastModifiedBy>
  <dcterms:modified xsi:type="dcterms:W3CDTF">2025-02-14T02:44:56Z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eyJoZGlkIjoiZTgwYjliYzBkODZkMjI5ZWI4ZjE0NTc0NjI4YTE1N2MifQ==</vt:lpwstr>
  </property>
  <property fmtid="{D5CDD505-2E9C-101B-9397-08002B2CF9AE}" pid="3" name="KSOProductBuildVer">
    <vt:lpwstr>2052-12.1.0.19302</vt:lpwstr>
  </property>
  <property fmtid="{D5CDD505-2E9C-101B-9397-08002B2CF9AE}" pid="4" name="ICV">
    <vt:lpwstr>DB3093AB93A143E3A202C4E521EF838A_12</vt:lpwstr>
  </property>
</Properties>
</file>